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ayout w:type="fixed"/>
        <w:tblLook w:val="0000" w:firstRow="0" w:lastRow="0" w:firstColumn="0" w:lastColumn="0" w:noHBand="0" w:noVBand="0"/>
      </w:tblPr>
      <w:tblGrid>
        <w:gridCol w:w="3227"/>
        <w:gridCol w:w="3685"/>
        <w:gridCol w:w="2410"/>
      </w:tblGrid>
      <w:tr w:rsidR="00AA7B29" w14:paraId="6BA0ACDB" w14:textId="77777777" w:rsidTr="00963141">
        <w:trPr>
          <w:cantSplit/>
        </w:trPr>
        <w:tc>
          <w:tcPr>
            <w:tcW w:w="6912" w:type="dxa"/>
            <w:gridSpan w:val="2"/>
          </w:tcPr>
          <w:p w14:paraId="21E8A925" w14:textId="0793A344" w:rsidR="00AA7B29" w:rsidRDefault="001976A0">
            <w:pPr>
              <w:pStyle w:val="BodyText2"/>
              <w:rPr>
                <w:sz w:val="28"/>
                <w:u w:val="none"/>
              </w:rPr>
            </w:pPr>
            <w:r>
              <w:rPr>
                <w:noProof/>
                <w:sz w:val="28"/>
                <w:u w:val="none"/>
              </w:rPr>
              <w:drawing>
                <wp:anchor distT="0" distB="0" distL="114300" distR="114300" simplePos="0" relativeHeight="251657728" behindDoc="1" locked="0" layoutInCell="0" allowOverlap="1" wp14:anchorId="16B41452" wp14:editId="157C580C">
                  <wp:simplePos x="0" y="0"/>
                  <wp:positionH relativeFrom="column">
                    <wp:posOffset>4389120</wp:posOffset>
                  </wp:positionH>
                  <wp:positionV relativeFrom="paragraph">
                    <wp:posOffset>-27305</wp:posOffset>
                  </wp:positionV>
                  <wp:extent cx="1463040" cy="12153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141">
              <w:rPr>
                <w:sz w:val="28"/>
                <w:u w:val="none"/>
              </w:rPr>
              <w:t xml:space="preserve">Record of Decision taken under </w:t>
            </w:r>
            <w:r w:rsidR="00F0286F">
              <w:rPr>
                <w:sz w:val="28"/>
                <w:u w:val="none"/>
              </w:rPr>
              <w:t xml:space="preserve">the </w:t>
            </w:r>
            <w:r w:rsidR="00963141">
              <w:rPr>
                <w:sz w:val="28"/>
                <w:u w:val="none"/>
              </w:rPr>
              <w:t xml:space="preserve">Scheme of Delegation </w:t>
            </w:r>
          </w:p>
          <w:p w14:paraId="5349B847" w14:textId="4E2F5BA0" w:rsidR="00963141" w:rsidRDefault="00963141">
            <w:pPr>
              <w:pStyle w:val="BodyText2"/>
              <w:rPr>
                <w:sz w:val="28"/>
                <w:u w:val="none"/>
              </w:rPr>
            </w:pPr>
          </w:p>
          <w:p w14:paraId="09DAEF2E" w14:textId="1C94A09B" w:rsidR="00963141" w:rsidRDefault="00F0286F">
            <w:pPr>
              <w:pStyle w:val="BodyText2"/>
              <w:rPr>
                <w:sz w:val="28"/>
                <w:u w:val="none"/>
              </w:rPr>
            </w:pPr>
            <w:r>
              <w:rPr>
                <w:sz w:val="28"/>
                <w:u w:val="none"/>
              </w:rPr>
              <w:t xml:space="preserve">Executive </w:t>
            </w:r>
            <w:r w:rsidR="004F285F">
              <w:rPr>
                <w:sz w:val="28"/>
                <w:u w:val="none"/>
              </w:rPr>
              <w:t xml:space="preserve">Cabinet Member </w:t>
            </w:r>
            <w:r>
              <w:rPr>
                <w:sz w:val="28"/>
                <w:u w:val="none"/>
              </w:rPr>
              <w:t xml:space="preserve">Decision </w:t>
            </w:r>
          </w:p>
          <w:p w14:paraId="6551D566" w14:textId="77777777" w:rsidR="00963141" w:rsidRDefault="00963141" w:rsidP="00963141">
            <w:pPr>
              <w:pStyle w:val="BodyText2"/>
              <w:jc w:val="left"/>
              <w:rPr>
                <w:sz w:val="28"/>
                <w:u w:val="none"/>
              </w:rPr>
            </w:pPr>
          </w:p>
          <w:p w14:paraId="75ADB632" w14:textId="77777777" w:rsidR="00AA7B29" w:rsidRDefault="00AA7B29">
            <w:pPr>
              <w:pStyle w:val="BodyText2"/>
              <w:rPr>
                <w:sz w:val="26"/>
                <w:u w:val="none"/>
              </w:rPr>
            </w:pPr>
          </w:p>
        </w:tc>
        <w:tc>
          <w:tcPr>
            <w:tcW w:w="2410" w:type="dxa"/>
          </w:tcPr>
          <w:p w14:paraId="2433A07D" w14:textId="77777777" w:rsidR="00AA7B29" w:rsidRDefault="00AA7B29">
            <w:pPr>
              <w:jc w:val="center"/>
              <w:rPr>
                <w:rFonts w:ascii="Arial" w:hAnsi="Arial"/>
                <w:b/>
                <w:sz w:val="26"/>
                <w:u w:val="single"/>
              </w:rPr>
            </w:pPr>
          </w:p>
        </w:tc>
      </w:tr>
      <w:tr w:rsidR="00963141" w14:paraId="363224ED" w14:textId="77777777" w:rsidTr="00963141">
        <w:tc>
          <w:tcPr>
            <w:tcW w:w="3227" w:type="dxa"/>
          </w:tcPr>
          <w:p w14:paraId="0AF3E848" w14:textId="469087D4" w:rsidR="00963141" w:rsidRDefault="00963141" w:rsidP="007407E8">
            <w:pPr>
              <w:rPr>
                <w:rFonts w:ascii="Arial" w:hAnsi="Arial"/>
                <w:b/>
                <w:sz w:val="22"/>
              </w:rPr>
            </w:pPr>
            <w:r>
              <w:rPr>
                <w:rFonts w:ascii="Arial" w:hAnsi="Arial"/>
                <w:b/>
                <w:sz w:val="22"/>
              </w:rPr>
              <w:t xml:space="preserve">Cabinet Member: </w:t>
            </w:r>
          </w:p>
        </w:tc>
        <w:tc>
          <w:tcPr>
            <w:tcW w:w="6095" w:type="dxa"/>
            <w:gridSpan w:val="2"/>
            <w:tcBorders>
              <w:top w:val="single" w:sz="4" w:space="0" w:color="auto"/>
              <w:left w:val="single" w:sz="4" w:space="0" w:color="auto"/>
              <w:bottom w:val="single" w:sz="4" w:space="0" w:color="auto"/>
              <w:right w:val="single" w:sz="4" w:space="0" w:color="auto"/>
            </w:tcBorders>
          </w:tcPr>
          <w:p w14:paraId="4A22DAD6" w14:textId="07D41737" w:rsidR="00963141" w:rsidRPr="00F77F32" w:rsidRDefault="00963141" w:rsidP="007407E8">
            <w:pPr>
              <w:rPr>
                <w:rFonts w:ascii="Arial" w:hAnsi="Arial" w:cs="Arial"/>
                <w:sz w:val="22"/>
                <w:szCs w:val="22"/>
              </w:rPr>
            </w:pPr>
            <w:r w:rsidRPr="00F77F32">
              <w:rPr>
                <w:rFonts w:ascii="Arial" w:hAnsi="Arial" w:cs="Arial"/>
                <w:sz w:val="22"/>
                <w:szCs w:val="22"/>
              </w:rPr>
              <w:t xml:space="preserve">Councillor </w:t>
            </w:r>
            <w:r w:rsidR="00503D75" w:rsidRPr="00F77F32">
              <w:rPr>
                <w:rFonts w:ascii="Arial" w:hAnsi="Arial" w:cs="Arial"/>
                <w:sz w:val="22"/>
                <w:szCs w:val="22"/>
              </w:rPr>
              <w:t>Matthew Tomlinson</w:t>
            </w:r>
          </w:p>
        </w:tc>
      </w:tr>
      <w:tr w:rsidR="00963141" w14:paraId="2D49EB62" w14:textId="77777777" w:rsidTr="00963141">
        <w:tc>
          <w:tcPr>
            <w:tcW w:w="3227" w:type="dxa"/>
          </w:tcPr>
          <w:p w14:paraId="3CBF6221" w14:textId="6EA2C0BA" w:rsidR="00963141" w:rsidRDefault="00963141" w:rsidP="007407E8">
            <w:pPr>
              <w:rPr>
                <w:rFonts w:ascii="Arial" w:hAnsi="Arial"/>
                <w:b/>
                <w:sz w:val="22"/>
              </w:rPr>
            </w:pPr>
            <w:r>
              <w:rPr>
                <w:rFonts w:ascii="Arial" w:hAnsi="Arial"/>
                <w:b/>
                <w:sz w:val="22"/>
              </w:rPr>
              <w:t>Portfolio:</w:t>
            </w:r>
          </w:p>
        </w:tc>
        <w:tc>
          <w:tcPr>
            <w:tcW w:w="6095" w:type="dxa"/>
            <w:gridSpan w:val="2"/>
            <w:tcBorders>
              <w:top w:val="single" w:sz="4" w:space="0" w:color="auto"/>
              <w:left w:val="single" w:sz="4" w:space="0" w:color="auto"/>
              <w:bottom w:val="single" w:sz="4" w:space="0" w:color="auto"/>
              <w:right w:val="single" w:sz="4" w:space="0" w:color="auto"/>
            </w:tcBorders>
          </w:tcPr>
          <w:p w14:paraId="15245126" w14:textId="570B81A3" w:rsidR="00963141" w:rsidRPr="00F77F32" w:rsidRDefault="00F77F32" w:rsidP="007407E8">
            <w:pPr>
              <w:rPr>
                <w:rFonts w:ascii="Arial" w:hAnsi="Arial" w:cs="Arial"/>
                <w:sz w:val="22"/>
                <w:szCs w:val="22"/>
              </w:rPr>
            </w:pPr>
            <w:r w:rsidRPr="00F77F32">
              <w:rPr>
                <w:rFonts w:ascii="Arial" w:hAnsi="Arial" w:cs="Arial"/>
                <w:sz w:val="22"/>
                <w:szCs w:val="22"/>
              </w:rPr>
              <w:t xml:space="preserve">Finance, </w:t>
            </w:r>
            <w:r w:rsidR="007D087A">
              <w:rPr>
                <w:rFonts w:ascii="Arial" w:hAnsi="Arial" w:cs="Arial"/>
                <w:sz w:val="22"/>
                <w:szCs w:val="22"/>
              </w:rPr>
              <w:t xml:space="preserve">Property </w:t>
            </w:r>
            <w:r w:rsidRPr="00F77F32">
              <w:rPr>
                <w:rFonts w:ascii="Arial" w:hAnsi="Arial" w:cs="Arial"/>
                <w:sz w:val="22"/>
                <w:szCs w:val="22"/>
              </w:rPr>
              <w:t xml:space="preserve">&amp; </w:t>
            </w:r>
            <w:r w:rsidR="007D087A">
              <w:rPr>
                <w:rFonts w:ascii="Arial" w:hAnsi="Arial" w:cs="Arial"/>
                <w:sz w:val="22"/>
                <w:szCs w:val="22"/>
              </w:rPr>
              <w:t>Assets</w:t>
            </w:r>
          </w:p>
        </w:tc>
      </w:tr>
      <w:tr w:rsidR="00963141" w14:paraId="57B86CD7" w14:textId="77777777" w:rsidTr="00963141">
        <w:trPr>
          <w:cantSplit/>
        </w:trPr>
        <w:tc>
          <w:tcPr>
            <w:tcW w:w="3227" w:type="dxa"/>
          </w:tcPr>
          <w:p w14:paraId="70186810" w14:textId="77777777" w:rsidR="00963141" w:rsidRDefault="00963141">
            <w:pPr>
              <w:rPr>
                <w:rFonts w:ascii="Arial" w:hAnsi="Arial"/>
                <w:b/>
                <w:sz w:val="22"/>
              </w:rPr>
            </w:pPr>
          </w:p>
        </w:tc>
        <w:tc>
          <w:tcPr>
            <w:tcW w:w="6095" w:type="dxa"/>
            <w:gridSpan w:val="2"/>
            <w:tcBorders>
              <w:top w:val="single" w:sz="4" w:space="0" w:color="auto"/>
              <w:bottom w:val="single" w:sz="4" w:space="0" w:color="auto"/>
            </w:tcBorders>
          </w:tcPr>
          <w:p w14:paraId="735D2745" w14:textId="77777777" w:rsidR="00963141" w:rsidRPr="000E31C0" w:rsidRDefault="00963141">
            <w:pPr>
              <w:rPr>
                <w:rFonts w:ascii="Arial" w:hAnsi="Arial"/>
                <w:sz w:val="22"/>
              </w:rPr>
            </w:pPr>
          </w:p>
        </w:tc>
      </w:tr>
      <w:tr w:rsidR="00AA7B29" w14:paraId="704D6EE1" w14:textId="77777777" w:rsidTr="00963141">
        <w:trPr>
          <w:cantSplit/>
        </w:trPr>
        <w:tc>
          <w:tcPr>
            <w:tcW w:w="3227" w:type="dxa"/>
          </w:tcPr>
          <w:p w14:paraId="0E143869" w14:textId="77777777" w:rsidR="00AA7B29" w:rsidRDefault="004C04AD">
            <w:pPr>
              <w:rPr>
                <w:rFonts w:ascii="Arial" w:hAnsi="Arial"/>
                <w:b/>
                <w:sz w:val="22"/>
              </w:rPr>
            </w:pPr>
            <w:r>
              <w:rPr>
                <w:rFonts w:ascii="Arial" w:hAnsi="Arial"/>
                <w:b/>
                <w:sz w:val="22"/>
              </w:rPr>
              <w:t xml:space="preserve">Leadership </w:t>
            </w:r>
            <w:r w:rsidR="001976A0">
              <w:rPr>
                <w:rFonts w:ascii="Arial" w:hAnsi="Arial"/>
                <w:b/>
                <w:sz w:val="22"/>
              </w:rPr>
              <w:t>T</w:t>
            </w:r>
            <w:r>
              <w:rPr>
                <w:rFonts w:ascii="Arial" w:hAnsi="Arial"/>
                <w:b/>
                <w:sz w:val="22"/>
              </w:rPr>
              <w:t>eam</w:t>
            </w:r>
            <w:r w:rsidR="001976A0">
              <w:rPr>
                <w:rFonts w:ascii="Arial" w:hAnsi="Arial"/>
                <w:b/>
                <w:sz w:val="22"/>
              </w:rPr>
              <w:t xml:space="preserve"> Member:</w:t>
            </w:r>
          </w:p>
        </w:tc>
        <w:tc>
          <w:tcPr>
            <w:tcW w:w="6095" w:type="dxa"/>
            <w:gridSpan w:val="2"/>
            <w:tcBorders>
              <w:top w:val="single" w:sz="4" w:space="0" w:color="auto"/>
              <w:left w:val="single" w:sz="4" w:space="0" w:color="auto"/>
              <w:bottom w:val="single" w:sz="4" w:space="0" w:color="auto"/>
              <w:right w:val="single" w:sz="4" w:space="0" w:color="auto"/>
            </w:tcBorders>
          </w:tcPr>
          <w:p w14:paraId="38C4C885" w14:textId="2B148B8A" w:rsidR="00AA7B29" w:rsidRPr="00503D75" w:rsidRDefault="00503D75">
            <w:pPr>
              <w:rPr>
                <w:rFonts w:ascii="Arial" w:hAnsi="Arial"/>
                <w:sz w:val="22"/>
              </w:rPr>
            </w:pPr>
            <w:r w:rsidRPr="00503D75">
              <w:rPr>
                <w:rFonts w:ascii="Arial" w:hAnsi="Arial"/>
                <w:sz w:val="22"/>
              </w:rPr>
              <w:t>Gary Hall</w:t>
            </w:r>
            <w:r w:rsidR="00F77F32">
              <w:rPr>
                <w:rFonts w:ascii="Arial" w:hAnsi="Arial"/>
                <w:sz w:val="22"/>
              </w:rPr>
              <w:t xml:space="preserve"> – Chief E</w:t>
            </w:r>
            <w:r w:rsidR="00C63651">
              <w:rPr>
                <w:rFonts w:ascii="Arial" w:hAnsi="Arial"/>
                <w:sz w:val="22"/>
              </w:rPr>
              <w:t>x</w:t>
            </w:r>
            <w:r w:rsidR="00F77F32">
              <w:rPr>
                <w:rFonts w:ascii="Arial" w:hAnsi="Arial"/>
                <w:sz w:val="22"/>
              </w:rPr>
              <w:t>ecutive</w:t>
            </w:r>
          </w:p>
        </w:tc>
      </w:tr>
      <w:tr w:rsidR="00AA7B29" w14:paraId="5CA8B854" w14:textId="77777777" w:rsidTr="00963141">
        <w:tc>
          <w:tcPr>
            <w:tcW w:w="3227" w:type="dxa"/>
          </w:tcPr>
          <w:p w14:paraId="1B903FF0" w14:textId="77777777" w:rsidR="00AA7B29" w:rsidRDefault="00AA7B29">
            <w:pPr>
              <w:rPr>
                <w:rFonts w:ascii="Arial" w:hAnsi="Arial"/>
                <w:b/>
                <w:sz w:val="22"/>
              </w:rPr>
            </w:pPr>
          </w:p>
        </w:tc>
        <w:tc>
          <w:tcPr>
            <w:tcW w:w="6095" w:type="dxa"/>
            <w:gridSpan w:val="2"/>
          </w:tcPr>
          <w:p w14:paraId="07F1A738" w14:textId="77777777" w:rsidR="00AA7B29" w:rsidRPr="000E31C0" w:rsidRDefault="00AA7B29">
            <w:pPr>
              <w:rPr>
                <w:rFonts w:ascii="Arial" w:hAnsi="Arial"/>
                <w:sz w:val="22"/>
              </w:rPr>
            </w:pPr>
          </w:p>
        </w:tc>
      </w:tr>
      <w:tr w:rsidR="00AA7B29" w14:paraId="3979F285" w14:textId="77777777" w:rsidTr="00963141">
        <w:trPr>
          <w:trHeight w:val="487"/>
        </w:trPr>
        <w:tc>
          <w:tcPr>
            <w:tcW w:w="3227" w:type="dxa"/>
          </w:tcPr>
          <w:p w14:paraId="4FB45611" w14:textId="77777777" w:rsidR="00AA7B29" w:rsidRDefault="001976A0">
            <w:pPr>
              <w:rPr>
                <w:rFonts w:ascii="Arial" w:hAnsi="Arial"/>
                <w:b/>
                <w:sz w:val="22"/>
              </w:rPr>
            </w:pPr>
            <w:r>
              <w:rPr>
                <w:rFonts w:ascii="Arial" w:hAnsi="Arial"/>
                <w:b/>
                <w:sz w:val="22"/>
              </w:rPr>
              <w:t>Subject:</w:t>
            </w:r>
          </w:p>
          <w:p w14:paraId="5456A510" w14:textId="77777777" w:rsidR="00AA7B29" w:rsidRDefault="00AA7B29">
            <w:pPr>
              <w:rPr>
                <w:rFonts w:ascii="Arial" w:hAnsi="Arial"/>
                <w:b/>
                <w:sz w:val="22"/>
              </w:rPr>
            </w:pPr>
          </w:p>
          <w:p w14:paraId="1B073D51" w14:textId="77777777" w:rsidR="00AA7B29" w:rsidRDefault="00AA7B29">
            <w:pPr>
              <w:rPr>
                <w:rFonts w:ascii="Arial" w:hAnsi="Arial"/>
                <w:b/>
                <w:sz w:val="22"/>
              </w:rPr>
            </w:pPr>
          </w:p>
        </w:tc>
        <w:tc>
          <w:tcPr>
            <w:tcW w:w="6095" w:type="dxa"/>
            <w:gridSpan w:val="2"/>
            <w:tcBorders>
              <w:top w:val="single" w:sz="4" w:space="0" w:color="auto"/>
              <w:left w:val="single" w:sz="4" w:space="0" w:color="auto"/>
              <w:bottom w:val="single" w:sz="4" w:space="0" w:color="auto"/>
              <w:right w:val="single" w:sz="4" w:space="0" w:color="auto"/>
            </w:tcBorders>
          </w:tcPr>
          <w:p w14:paraId="7FC8127B" w14:textId="50EBF99F" w:rsidR="00AA7B29" w:rsidRPr="000E31C0" w:rsidRDefault="00503D75">
            <w:pPr>
              <w:rPr>
                <w:rFonts w:ascii="Arial" w:hAnsi="Arial"/>
                <w:sz w:val="22"/>
              </w:rPr>
            </w:pPr>
            <w:r>
              <w:rPr>
                <w:rFonts w:ascii="Arial" w:hAnsi="Arial"/>
                <w:sz w:val="22"/>
              </w:rPr>
              <w:t>Worden Hall Procurement Strategy</w:t>
            </w:r>
          </w:p>
        </w:tc>
      </w:tr>
      <w:tr w:rsidR="00AA7B29" w14:paraId="4B4FA294" w14:textId="77777777" w:rsidTr="00963141">
        <w:tc>
          <w:tcPr>
            <w:tcW w:w="3227" w:type="dxa"/>
          </w:tcPr>
          <w:p w14:paraId="16599948" w14:textId="77777777" w:rsidR="00AA7B29" w:rsidRDefault="00AA7B29">
            <w:pPr>
              <w:rPr>
                <w:rFonts w:ascii="Arial" w:hAnsi="Arial"/>
                <w:b/>
                <w:sz w:val="22"/>
              </w:rPr>
            </w:pPr>
          </w:p>
        </w:tc>
        <w:tc>
          <w:tcPr>
            <w:tcW w:w="6095" w:type="dxa"/>
            <w:gridSpan w:val="2"/>
          </w:tcPr>
          <w:p w14:paraId="065A2525" w14:textId="77777777" w:rsidR="00AA7B29" w:rsidRDefault="00AA7B29">
            <w:pPr>
              <w:rPr>
                <w:rFonts w:ascii="Arial" w:hAnsi="Arial"/>
                <w:sz w:val="22"/>
              </w:rPr>
            </w:pPr>
          </w:p>
        </w:tc>
      </w:tr>
      <w:tr w:rsidR="00AA7B29" w14:paraId="36C05E7C" w14:textId="77777777" w:rsidTr="00963141">
        <w:tc>
          <w:tcPr>
            <w:tcW w:w="3227" w:type="dxa"/>
          </w:tcPr>
          <w:p w14:paraId="491CF310" w14:textId="650A05B6" w:rsidR="00AA7B29" w:rsidRDefault="00F0286F">
            <w:pPr>
              <w:rPr>
                <w:rFonts w:ascii="Arial" w:hAnsi="Arial"/>
                <w:b/>
                <w:sz w:val="22"/>
              </w:rPr>
            </w:pPr>
            <w:r>
              <w:rPr>
                <w:rFonts w:ascii="Arial" w:hAnsi="Arial"/>
                <w:b/>
                <w:sz w:val="22"/>
              </w:rPr>
              <w:t xml:space="preserve">Executive </w:t>
            </w:r>
            <w:r w:rsidR="001976A0">
              <w:rPr>
                <w:rFonts w:ascii="Arial" w:hAnsi="Arial"/>
                <w:b/>
                <w:sz w:val="22"/>
              </w:rPr>
              <w:t>Decision:</w:t>
            </w:r>
          </w:p>
          <w:p w14:paraId="76A58AD8" w14:textId="77777777" w:rsidR="00AA7B29" w:rsidRDefault="00AA7B29">
            <w:pPr>
              <w:rPr>
                <w:rFonts w:ascii="Arial" w:hAnsi="Arial"/>
                <w:b/>
                <w:sz w:val="22"/>
              </w:rPr>
            </w:pPr>
          </w:p>
          <w:p w14:paraId="47CC7F19" w14:textId="77777777" w:rsidR="00AA7B29" w:rsidRDefault="00AA7B29">
            <w:pPr>
              <w:rPr>
                <w:rFonts w:ascii="Arial" w:hAnsi="Arial"/>
                <w:b/>
                <w:sz w:val="22"/>
              </w:rPr>
            </w:pPr>
          </w:p>
          <w:p w14:paraId="0B34BB07" w14:textId="77777777" w:rsidR="00AA7B29" w:rsidRDefault="00AA7B29">
            <w:pPr>
              <w:rPr>
                <w:rFonts w:ascii="Arial" w:hAnsi="Arial"/>
                <w:b/>
                <w:sz w:val="22"/>
              </w:rPr>
            </w:pPr>
          </w:p>
        </w:tc>
        <w:tc>
          <w:tcPr>
            <w:tcW w:w="6095" w:type="dxa"/>
            <w:gridSpan w:val="2"/>
            <w:tcBorders>
              <w:top w:val="single" w:sz="4" w:space="0" w:color="auto"/>
              <w:left w:val="single" w:sz="4" w:space="0" w:color="auto"/>
              <w:bottom w:val="single" w:sz="4" w:space="0" w:color="auto"/>
              <w:right w:val="single" w:sz="4" w:space="0" w:color="auto"/>
            </w:tcBorders>
          </w:tcPr>
          <w:p w14:paraId="22429B05" w14:textId="77777777" w:rsidR="00AA7B29" w:rsidRDefault="00C63651">
            <w:pPr>
              <w:rPr>
                <w:rFonts w:ascii="Arial" w:hAnsi="Arial"/>
                <w:sz w:val="22"/>
              </w:rPr>
            </w:pPr>
            <w:r>
              <w:rPr>
                <w:rFonts w:ascii="Arial" w:hAnsi="Arial"/>
                <w:sz w:val="22"/>
              </w:rPr>
              <w:t>To approve the proposed procurement strategy for the refurbishment of Worden Hall project.</w:t>
            </w:r>
          </w:p>
          <w:p w14:paraId="2925E21F" w14:textId="77777777" w:rsidR="00C63651" w:rsidRDefault="00C63651">
            <w:pPr>
              <w:rPr>
                <w:rFonts w:ascii="Arial" w:hAnsi="Arial"/>
                <w:sz w:val="22"/>
              </w:rPr>
            </w:pPr>
          </w:p>
          <w:p w14:paraId="789C1AC3" w14:textId="40EA0790" w:rsidR="00C63651" w:rsidRDefault="00C63651">
            <w:pPr>
              <w:rPr>
                <w:rFonts w:ascii="Arial" w:hAnsi="Arial"/>
                <w:sz w:val="22"/>
              </w:rPr>
            </w:pPr>
            <w:r>
              <w:rPr>
                <w:rFonts w:ascii="Arial" w:hAnsi="Arial"/>
                <w:sz w:val="22"/>
              </w:rPr>
              <w:t>Procurement Strategy set out below:</w:t>
            </w:r>
          </w:p>
          <w:p w14:paraId="6D30EDFC" w14:textId="0926D21D" w:rsidR="00C63651" w:rsidRDefault="00C63651">
            <w:pPr>
              <w:rPr>
                <w:rFonts w:ascii="Arial" w:hAnsi="Arial"/>
                <w:sz w:val="22"/>
              </w:rPr>
            </w:pPr>
          </w:p>
          <w:p w14:paraId="315755DD" w14:textId="59ECFD70" w:rsidR="00C63651" w:rsidRDefault="00C63651">
            <w:pPr>
              <w:rPr>
                <w:rFonts w:ascii="Arial" w:hAnsi="Arial"/>
                <w:sz w:val="22"/>
              </w:rPr>
            </w:pPr>
            <w:r>
              <w:rPr>
                <w:rFonts w:ascii="Arial" w:hAnsi="Arial"/>
                <w:sz w:val="22"/>
              </w:rPr>
              <w:t>Appointment of project management and cost consultancy support through a waiver.</w:t>
            </w:r>
          </w:p>
          <w:p w14:paraId="1198850B" w14:textId="3A176C1E" w:rsidR="00C63651" w:rsidRDefault="00C63651">
            <w:pPr>
              <w:rPr>
                <w:rFonts w:ascii="Arial" w:hAnsi="Arial"/>
                <w:sz w:val="22"/>
              </w:rPr>
            </w:pPr>
          </w:p>
          <w:p w14:paraId="2F9B81C8" w14:textId="5C43D8F4" w:rsidR="00C63651" w:rsidRDefault="00C63651">
            <w:pPr>
              <w:rPr>
                <w:rFonts w:ascii="Arial" w:hAnsi="Arial"/>
                <w:sz w:val="22"/>
              </w:rPr>
            </w:pPr>
            <w:r>
              <w:rPr>
                <w:rFonts w:ascii="Arial" w:hAnsi="Arial"/>
                <w:sz w:val="22"/>
              </w:rPr>
              <w:t>Appointment of a design team</w:t>
            </w:r>
            <w:r w:rsidR="000F2763">
              <w:rPr>
                <w:rFonts w:ascii="Arial" w:hAnsi="Arial"/>
                <w:sz w:val="22"/>
              </w:rPr>
              <w:t xml:space="preserve"> (Arc</w:t>
            </w:r>
            <w:r w:rsidR="009C4C4B">
              <w:rPr>
                <w:rFonts w:ascii="Arial" w:hAnsi="Arial"/>
                <w:sz w:val="22"/>
              </w:rPr>
              <w:t>h</w:t>
            </w:r>
            <w:r w:rsidR="000F2763">
              <w:rPr>
                <w:rFonts w:ascii="Arial" w:hAnsi="Arial"/>
                <w:sz w:val="22"/>
              </w:rPr>
              <w:t>itect (</w:t>
            </w:r>
            <w:proofErr w:type="spellStart"/>
            <w:r w:rsidR="000F2763">
              <w:rPr>
                <w:rFonts w:ascii="Arial" w:hAnsi="Arial"/>
                <w:sz w:val="22"/>
              </w:rPr>
              <w:t>incl</w:t>
            </w:r>
            <w:proofErr w:type="spellEnd"/>
            <w:r w:rsidR="000F2763">
              <w:rPr>
                <w:rFonts w:ascii="Arial" w:hAnsi="Arial"/>
                <w:sz w:val="22"/>
              </w:rPr>
              <w:t xml:space="preserve"> Principal Designer duties, structural engineer and mechanical, electrical and plumbing consultant)</w:t>
            </w:r>
            <w:r w:rsidR="009C4C4B">
              <w:rPr>
                <w:rFonts w:ascii="Arial" w:hAnsi="Arial"/>
                <w:sz w:val="22"/>
              </w:rPr>
              <w:t xml:space="preserve"> </w:t>
            </w:r>
            <w:r>
              <w:rPr>
                <w:rFonts w:ascii="Arial" w:hAnsi="Arial"/>
                <w:sz w:val="22"/>
              </w:rPr>
              <w:t xml:space="preserve">via a competitive tendering exercise via the Chest to complete the stage 4 design. These will be invited tenders. The evaluation criteria used for the </w:t>
            </w:r>
            <w:r w:rsidR="000F2763">
              <w:rPr>
                <w:rFonts w:ascii="Arial" w:hAnsi="Arial"/>
                <w:sz w:val="22"/>
              </w:rPr>
              <w:t xml:space="preserve">design team </w:t>
            </w:r>
            <w:r>
              <w:rPr>
                <w:rFonts w:ascii="Arial" w:hAnsi="Arial"/>
                <w:sz w:val="22"/>
              </w:rPr>
              <w:t xml:space="preserve">will be </w:t>
            </w:r>
            <w:r w:rsidR="000F2763">
              <w:rPr>
                <w:rFonts w:ascii="Arial" w:hAnsi="Arial"/>
                <w:sz w:val="22"/>
              </w:rPr>
              <w:t>60% Cost, 40% quality</w:t>
            </w:r>
          </w:p>
          <w:p w14:paraId="3433A6FE" w14:textId="3C9A28E7" w:rsidR="00C63651" w:rsidRDefault="00C63651">
            <w:pPr>
              <w:rPr>
                <w:rFonts w:ascii="Arial" w:hAnsi="Arial"/>
                <w:sz w:val="22"/>
              </w:rPr>
            </w:pPr>
          </w:p>
          <w:p w14:paraId="011FFC77" w14:textId="51CD0184" w:rsidR="00C63651" w:rsidRDefault="00C63651">
            <w:pPr>
              <w:rPr>
                <w:rFonts w:ascii="Arial" w:hAnsi="Arial"/>
                <w:sz w:val="22"/>
              </w:rPr>
            </w:pPr>
            <w:r>
              <w:rPr>
                <w:rFonts w:ascii="Arial" w:hAnsi="Arial"/>
                <w:sz w:val="22"/>
              </w:rPr>
              <w:t>Appointment of services which allow advanced works to be progressed on site.</w:t>
            </w:r>
          </w:p>
          <w:p w14:paraId="40C00B88" w14:textId="22872D6F" w:rsidR="00C63651" w:rsidRDefault="00C63651">
            <w:pPr>
              <w:rPr>
                <w:rFonts w:ascii="Arial" w:hAnsi="Arial"/>
                <w:sz w:val="22"/>
              </w:rPr>
            </w:pPr>
          </w:p>
          <w:p w14:paraId="36E6CAAD" w14:textId="65EDE8DD" w:rsidR="00C63651" w:rsidRDefault="00C63651">
            <w:pPr>
              <w:rPr>
                <w:rFonts w:ascii="Arial" w:hAnsi="Arial"/>
                <w:sz w:val="22"/>
              </w:rPr>
            </w:pPr>
            <w:r>
              <w:rPr>
                <w:rFonts w:ascii="Arial" w:hAnsi="Arial"/>
                <w:sz w:val="22"/>
              </w:rPr>
              <w:t>Appointment of a Contractor using a traditional procurement route to deliver the works via the Rise Construction Framework</w:t>
            </w:r>
            <w:r w:rsidR="000F2763">
              <w:rPr>
                <w:rFonts w:ascii="Arial" w:hAnsi="Arial"/>
                <w:sz w:val="22"/>
              </w:rPr>
              <w:t xml:space="preserve">, using an </w:t>
            </w:r>
            <w:r w:rsidR="00DB3623">
              <w:rPr>
                <w:rFonts w:ascii="Arial" w:hAnsi="Arial"/>
                <w:sz w:val="22"/>
              </w:rPr>
              <w:t>evaluation criterion</w:t>
            </w:r>
            <w:r w:rsidR="000F2763">
              <w:rPr>
                <w:rFonts w:ascii="Arial" w:hAnsi="Arial"/>
                <w:sz w:val="22"/>
              </w:rPr>
              <w:t xml:space="preserve"> of 70% cost, 30% quality.</w:t>
            </w:r>
          </w:p>
          <w:p w14:paraId="00F79FF6" w14:textId="17BB9038" w:rsidR="00C63651" w:rsidRPr="000E31C0" w:rsidRDefault="00C63651">
            <w:pPr>
              <w:rPr>
                <w:rFonts w:ascii="Arial" w:hAnsi="Arial"/>
                <w:sz w:val="22"/>
              </w:rPr>
            </w:pPr>
          </w:p>
        </w:tc>
      </w:tr>
      <w:tr w:rsidR="00AA7B29" w14:paraId="3A83E7D3" w14:textId="77777777" w:rsidTr="00963141">
        <w:tc>
          <w:tcPr>
            <w:tcW w:w="3227" w:type="dxa"/>
          </w:tcPr>
          <w:p w14:paraId="0CF584C8" w14:textId="77777777" w:rsidR="00AA7B29" w:rsidRDefault="00AA7B29">
            <w:pPr>
              <w:rPr>
                <w:rFonts w:ascii="Arial" w:hAnsi="Arial"/>
                <w:b/>
                <w:sz w:val="22"/>
              </w:rPr>
            </w:pPr>
          </w:p>
        </w:tc>
        <w:tc>
          <w:tcPr>
            <w:tcW w:w="6095" w:type="dxa"/>
            <w:gridSpan w:val="2"/>
          </w:tcPr>
          <w:p w14:paraId="41F3A168" w14:textId="77777777" w:rsidR="00AA7B29" w:rsidRDefault="00AA7B29">
            <w:pPr>
              <w:rPr>
                <w:rFonts w:ascii="Arial" w:hAnsi="Arial"/>
                <w:sz w:val="22"/>
              </w:rPr>
            </w:pPr>
          </w:p>
        </w:tc>
      </w:tr>
      <w:tr w:rsidR="00AA7B29" w14:paraId="4CE673AA" w14:textId="77777777" w:rsidTr="00963141">
        <w:tc>
          <w:tcPr>
            <w:tcW w:w="3227" w:type="dxa"/>
          </w:tcPr>
          <w:p w14:paraId="716169B5" w14:textId="77777777" w:rsidR="00AA7B29" w:rsidRDefault="001976A0">
            <w:pPr>
              <w:rPr>
                <w:rFonts w:ascii="Arial" w:hAnsi="Arial"/>
                <w:b/>
                <w:sz w:val="22"/>
              </w:rPr>
            </w:pPr>
            <w:r>
              <w:rPr>
                <w:rFonts w:ascii="Arial" w:hAnsi="Arial"/>
                <w:b/>
                <w:sz w:val="22"/>
              </w:rPr>
              <w:t>Details and Reasoning:</w:t>
            </w:r>
          </w:p>
          <w:p w14:paraId="41213FB6" w14:textId="77777777" w:rsidR="00AA7B29" w:rsidRDefault="00AA7B29">
            <w:pPr>
              <w:rPr>
                <w:rFonts w:ascii="Arial" w:hAnsi="Arial"/>
                <w:b/>
                <w:sz w:val="22"/>
              </w:rPr>
            </w:pPr>
          </w:p>
          <w:p w14:paraId="339605CE" w14:textId="77777777" w:rsidR="00AA7B29" w:rsidRDefault="00AA7B29">
            <w:pPr>
              <w:rPr>
                <w:rFonts w:ascii="Arial" w:hAnsi="Arial"/>
                <w:b/>
                <w:sz w:val="22"/>
              </w:rPr>
            </w:pPr>
          </w:p>
          <w:p w14:paraId="1D697DC4" w14:textId="77777777" w:rsidR="00AA7B29" w:rsidRDefault="00AA7B29">
            <w:pPr>
              <w:rPr>
                <w:rFonts w:ascii="Arial" w:hAnsi="Arial"/>
                <w:b/>
                <w:sz w:val="22"/>
              </w:rPr>
            </w:pPr>
          </w:p>
          <w:p w14:paraId="730A7814" w14:textId="77777777" w:rsidR="00AA7B29" w:rsidRDefault="00AA7B29">
            <w:pPr>
              <w:rPr>
                <w:rFonts w:ascii="Arial" w:hAnsi="Arial"/>
                <w:b/>
                <w:sz w:val="22"/>
              </w:rPr>
            </w:pPr>
          </w:p>
          <w:p w14:paraId="73AD9A16" w14:textId="77777777" w:rsidR="00AA7B29" w:rsidRDefault="00AA7B29">
            <w:pPr>
              <w:rPr>
                <w:rFonts w:ascii="Arial" w:hAnsi="Arial"/>
                <w:b/>
                <w:sz w:val="22"/>
              </w:rPr>
            </w:pPr>
          </w:p>
          <w:p w14:paraId="65FD43E3" w14:textId="77777777" w:rsidR="00AA7B29" w:rsidRDefault="00AA7B29">
            <w:pPr>
              <w:rPr>
                <w:rFonts w:ascii="Arial" w:hAnsi="Arial"/>
                <w:b/>
                <w:sz w:val="22"/>
              </w:rPr>
            </w:pPr>
          </w:p>
        </w:tc>
        <w:tc>
          <w:tcPr>
            <w:tcW w:w="6095" w:type="dxa"/>
            <w:gridSpan w:val="2"/>
            <w:tcBorders>
              <w:top w:val="single" w:sz="4" w:space="0" w:color="auto"/>
              <w:left w:val="single" w:sz="4" w:space="0" w:color="auto"/>
              <w:bottom w:val="single" w:sz="4" w:space="0" w:color="auto"/>
              <w:right w:val="single" w:sz="4" w:space="0" w:color="auto"/>
            </w:tcBorders>
          </w:tcPr>
          <w:p w14:paraId="6A2D5C54" w14:textId="34DC772B" w:rsidR="009A1E0E" w:rsidRDefault="00DB3623">
            <w:pPr>
              <w:rPr>
                <w:rFonts w:ascii="Arial" w:hAnsi="Arial"/>
                <w:sz w:val="22"/>
              </w:rPr>
            </w:pPr>
            <w:r>
              <w:rPr>
                <w:rFonts w:ascii="Arial" w:hAnsi="Arial"/>
                <w:sz w:val="22"/>
              </w:rPr>
              <w:t>In line with the adopted recommendations of the Cabinet report that was taken to Cabinet on 16 December this year shown below</w:t>
            </w:r>
          </w:p>
          <w:p w14:paraId="08D48916" w14:textId="5C9BCA03" w:rsidR="009A1E0E" w:rsidRDefault="009A1E0E">
            <w:pPr>
              <w:rPr>
                <w:rFonts w:ascii="Arial" w:hAnsi="Arial"/>
                <w:sz w:val="22"/>
              </w:rPr>
            </w:pPr>
          </w:p>
          <w:p w14:paraId="0153DD84" w14:textId="77777777" w:rsidR="009A1E0E" w:rsidRDefault="009A1E0E" w:rsidP="009A1E0E">
            <w:pPr>
              <w:pStyle w:val="ListParagraph"/>
              <w:numPr>
                <w:ilvl w:val="0"/>
                <w:numId w:val="3"/>
              </w:numPr>
              <w:rPr>
                <w:rFonts w:ascii="Arial" w:hAnsi="Arial" w:cs="Arial"/>
                <w:sz w:val="22"/>
                <w:szCs w:val="22"/>
              </w:rPr>
            </w:pPr>
            <w:r w:rsidRPr="009A1E0E">
              <w:rPr>
                <w:rFonts w:ascii="Arial" w:hAnsi="Arial" w:cs="Arial"/>
                <w:sz w:val="22"/>
                <w:szCs w:val="22"/>
              </w:rPr>
              <w:t>That Cabinet authorises the Portfolio Holder for Finance, Property and Assets in consultation with the Chief Executive to commence a procurement exercise to identify a contractor and professional services to implement the Worden Hall project;</w:t>
            </w:r>
          </w:p>
          <w:p w14:paraId="0CBF04FB" w14:textId="10D61E44" w:rsidR="009A1E0E" w:rsidRPr="009A1E0E" w:rsidRDefault="009A1E0E" w:rsidP="009A1E0E">
            <w:pPr>
              <w:pStyle w:val="ListParagraph"/>
              <w:numPr>
                <w:ilvl w:val="0"/>
                <w:numId w:val="3"/>
              </w:numPr>
              <w:rPr>
                <w:rFonts w:ascii="Arial" w:hAnsi="Arial" w:cs="Arial"/>
                <w:sz w:val="22"/>
                <w:szCs w:val="22"/>
              </w:rPr>
            </w:pPr>
            <w:r w:rsidRPr="009A1E0E">
              <w:rPr>
                <w:rFonts w:ascii="Arial" w:hAnsi="Arial" w:cs="Arial"/>
                <w:sz w:val="22"/>
                <w:szCs w:val="22"/>
              </w:rPr>
              <w:t>That subject to the receipt of Planning permission and Listed Building consent, Cabinet authorises the Portfolio Holder for Finance, Property and Assets in consultation with the Chief Executive to appoint the highest scoring contractor and professional services in terms of social value, quality</w:t>
            </w:r>
            <w:r>
              <w:t xml:space="preserve"> </w:t>
            </w:r>
            <w:r w:rsidRPr="009A1E0E">
              <w:rPr>
                <w:rFonts w:ascii="Arial" w:hAnsi="Arial" w:cs="Arial"/>
              </w:rPr>
              <w:t xml:space="preserve">of submission, timeframe for implementation </w:t>
            </w:r>
            <w:r w:rsidRPr="009A1E0E">
              <w:rPr>
                <w:rFonts w:ascii="Arial" w:hAnsi="Arial" w:cs="Arial"/>
                <w:sz w:val="22"/>
                <w:szCs w:val="22"/>
              </w:rPr>
              <w:t>and price be appointed to undertake the works;</w:t>
            </w:r>
          </w:p>
          <w:p w14:paraId="5FA1B7B2" w14:textId="77777777" w:rsidR="009A1E0E" w:rsidRDefault="009A1E0E">
            <w:pPr>
              <w:rPr>
                <w:rFonts w:ascii="Arial" w:hAnsi="Arial"/>
                <w:sz w:val="22"/>
              </w:rPr>
            </w:pPr>
          </w:p>
          <w:p w14:paraId="38EE9BD1" w14:textId="6EF597B4" w:rsidR="009A1E0E" w:rsidRDefault="009A1E0E">
            <w:pPr>
              <w:rPr>
                <w:rFonts w:ascii="Arial" w:hAnsi="Arial"/>
                <w:sz w:val="22"/>
              </w:rPr>
            </w:pPr>
            <w:r>
              <w:rPr>
                <w:rFonts w:ascii="Arial" w:hAnsi="Arial"/>
                <w:sz w:val="22"/>
              </w:rPr>
              <w:lastRenderedPageBreak/>
              <w:t>We are now brin</w:t>
            </w:r>
            <w:r w:rsidR="005646FF">
              <w:rPr>
                <w:rFonts w:ascii="Arial" w:hAnsi="Arial"/>
                <w:sz w:val="22"/>
              </w:rPr>
              <w:t xml:space="preserve">ging the way forward that </w:t>
            </w:r>
            <w:r>
              <w:rPr>
                <w:rFonts w:ascii="Arial" w:hAnsi="Arial"/>
                <w:sz w:val="22"/>
              </w:rPr>
              <w:t>require</w:t>
            </w:r>
            <w:r w:rsidR="005646FF">
              <w:rPr>
                <w:rFonts w:ascii="Arial" w:hAnsi="Arial"/>
                <w:sz w:val="22"/>
              </w:rPr>
              <w:t>s</w:t>
            </w:r>
            <w:r>
              <w:rPr>
                <w:rFonts w:ascii="Arial" w:hAnsi="Arial"/>
                <w:sz w:val="22"/>
              </w:rPr>
              <w:t xml:space="preserve"> an executive deci</w:t>
            </w:r>
            <w:r w:rsidR="005646FF">
              <w:rPr>
                <w:rFonts w:ascii="Arial" w:hAnsi="Arial"/>
                <w:sz w:val="22"/>
              </w:rPr>
              <w:t>si</w:t>
            </w:r>
            <w:r>
              <w:rPr>
                <w:rFonts w:ascii="Arial" w:hAnsi="Arial"/>
                <w:sz w:val="22"/>
              </w:rPr>
              <w:t xml:space="preserve">on as required by the </w:t>
            </w:r>
            <w:r w:rsidR="005646FF">
              <w:rPr>
                <w:rFonts w:ascii="Arial" w:hAnsi="Arial"/>
                <w:sz w:val="22"/>
              </w:rPr>
              <w:t>16 December Cabinet</w:t>
            </w:r>
          </w:p>
          <w:p w14:paraId="61DD58B3" w14:textId="77777777" w:rsidR="005646FF" w:rsidRDefault="005646FF">
            <w:pPr>
              <w:rPr>
                <w:rFonts w:ascii="Arial" w:hAnsi="Arial"/>
                <w:sz w:val="22"/>
              </w:rPr>
            </w:pPr>
          </w:p>
          <w:p w14:paraId="5903C4D2" w14:textId="14DF9ED7" w:rsidR="009A1E0E" w:rsidRDefault="005646FF">
            <w:pPr>
              <w:rPr>
                <w:rFonts w:ascii="Arial" w:hAnsi="Arial"/>
                <w:sz w:val="22"/>
              </w:rPr>
            </w:pPr>
            <w:r>
              <w:rPr>
                <w:rFonts w:ascii="Arial" w:hAnsi="Arial"/>
                <w:sz w:val="22"/>
              </w:rPr>
              <w:t>The reasoning behind the decision required is explained as follows:</w:t>
            </w:r>
          </w:p>
          <w:p w14:paraId="33B27C27" w14:textId="77777777" w:rsidR="005646FF" w:rsidRDefault="005646FF">
            <w:pPr>
              <w:rPr>
                <w:rFonts w:ascii="Arial" w:hAnsi="Arial"/>
                <w:sz w:val="22"/>
              </w:rPr>
            </w:pPr>
          </w:p>
          <w:p w14:paraId="1B0B9370" w14:textId="693BDF33" w:rsidR="0056091D" w:rsidRPr="00C63651" w:rsidRDefault="00DB3623">
            <w:pPr>
              <w:rPr>
                <w:rFonts w:ascii="Arial" w:hAnsi="Arial"/>
                <w:sz w:val="22"/>
              </w:rPr>
            </w:pPr>
            <w:r>
              <w:rPr>
                <w:rFonts w:ascii="Arial" w:hAnsi="Arial"/>
                <w:sz w:val="22"/>
              </w:rPr>
              <w:t xml:space="preserve"> </w:t>
            </w:r>
            <w:r w:rsidR="00C63651" w:rsidRPr="00C63651">
              <w:rPr>
                <w:rFonts w:ascii="Arial" w:hAnsi="Arial"/>
                <w:sz w:val="22"/>
              </w:rPr>
              <w:t xml:space="preserve">Direct Appointment of PM and Cost </w:t>
            </w:r>
            <w:r w:rsidR="00C63651">
              <w:rPr>
                <w:rFonts w:ascii="Arial" w:hAnsi="Arial"/>
                <w:sz w:val="22"/>
              </w:rPr>
              <w:t>C</w:t>
            </w:r>
            <w:r w:rsidR="00C63651" w:rsidRPr="00C63651">
              <w:rPr>
                <w:rFonts w:ascii="Arial" w:hAnsi="Arial"/>
                <w:sz w:val="22"/>
              </w:rPr>
              <w:t>onsultancy Support:</w:t>
            </w:r>
          </w:p>
          <w:p w14:paraId="34649AEF" w14:textId="1FE6AB0E" w:rsidR="00C63651" w:rsidRDefault="00C63651" w:rsidP="00C63651">
            <w:pPr>
              <w:pStyle w:val="ListParagraph"/>
              <w:numPr>
                <w:ilvl w:val="0"/>
                <w:numId w:val="1"/>
              </w:numPr>
              <w:rPr>
                <w:rFonts w:ascii="Arial" w:hAnsi="Arial"/>
                <w:sz w:val="22"/>
              </w:rPr>
            </w:pPr>
            <w:r>
              <w:rPr>
                <w:rFonts w:ascii="Arial" w:hAnsi="Arial"/>
                <w:sz w:val="22"/>
              </w:rPr>
              <w:t>To enable immediate progress of the scheme and completion by June 2022.</w:t>
            </w:r>
          </w:p>
          <w:p w14:paraId="60778AD1" w14:textId="77777777" w:rsidR="00C63651" w:rsidRDefault="00C63651" w:rsidP="00C63651">
            <w:pPr>
              <w:rPr>
                <w:rFonts w:ascii="Arial" w:hAnsi="Arial"/>
                <w:sz w:val="22"/>
              </w:rPr>
            </w:pPr>
          </w:p>
          <w:p w14:paraId="5909C7B8" w14:textId="77777777" w:rsidR="00C63651" w:rsidRDefault="00C63651" w:rsidP="00C63651">
            <w:pPr>
              <w:rPr>
                <w:rFonts w:ascii="Arial" w:hAnsi="Arial"/>
                <w:sz w:val="22"/>
              </w:rPr>
            </w:pPr>
            <w:r>
              <w:rPr>
                <w:rFonts w:ascii="Arial" w:hAnsi="Arial"/>
                <w:sz w:val="22"/>
              </w:rPr>
              <w:t>Appointment of the design team:</w:t>
            </w:r>
          </w:p>
          <w:p w14:paraId="3C2C49DE" w14:textId="31E6F284" w:rsidR="00C63651" w:rsidRDefault="00C63651" w:rsidP="00C63651">
            <w:pPr>
              <w:pStyle w:val="ListParagraph"/>
              <w:numPr>
                <w:ilvl w:val="0"/>
                <w:numId w:val="1"/>
              </w:numPr>
              <w:rPr>
                <w:rFonts w:ascii="Arial" w:hAnsi="Arial"/>
                <w:sz w:val="22"/>
              </w:rPr>
            </w:pPr>
            <w:r>
              <w:rPr>
                <w:rFonts w:ascii="Arial" w:hAnsi="Arial"/>
                <w:sz w:val="22"/>
              </w:rPr>
              <w:t>To ensure that the design is fully detailed, and any phasing of the works are fully consider</w:t>
            </w:r>
            <w:r w:rsidR="009C4C4B">
              <w:rPr>
                <w:rFonts w:ascii="Arial" w:hAnsi="Arial"/>
                <w:sz w:val="22"/>
              </w:rPr>
              <w:t>ed</w:t>
            </w:r>
            <w:r>
              <w:rPr>
                <w:rFonts w:ascii="Arial" w:hAnsi="Arial"/>
                <w:sz w:val="22"/>
              </w:rPr>
              <w:t xml:space="preserve"> to ensure best value is achieved from the Contractor.</w:t>
            </w:r>
          </w:p>
          <w:p w14:paraId="0382D197" w14:textId="77777777" w:rsidR="00C63651" w:rsidRDefault="00C63651" w:rsidP="00C63651">
            <w:pPr>
              <w:pStyle w:val="ListParagraph"/>
              <w:rPr>
                <w:rFonts w:ascii="Arial" w:hAnsi="Arial"/>
                <w:sz w:val="22"/>
              </w:rPr>
            </w:pPr>
          </w:p>
          <w:p w14:paraId="5DCC4353" w14:textId="4CAF3D5C" w:rsidR="00C63651" w:rsidRDefault="00C63651" w:rsidP="00C63651">
            <w:pPr>
              <w:rPr>
                <w:rFonts w:ascii="Arial" w:hAnsi="Arial"/>
                <w:sz w:val="22"/>
              </w:rPr>
            </w:pPr>
            <w:r>
              <w:rPr>
                <w:rFonts w:ascii="Arial" w:hAnsi="Arial"/>
                <w:sz w:val="22"/>
              </w:rPr>
              <w:t>Appointment of advanced works services.</w:t>
            </w:r>
          </w:p>
          <w:p w14:paraId="79D1D267" w14:textId="06BD6639" w:rsidR="00C63651" w:rsidRDefault="00C63651" w:rsidP="00C63651">
            <w:pPr>
              <w:pStyle w:val="ListParagraph"/>
              <w:numPr>
                <w:ilvl w:val="0"/>
                <w:numId w:val="1"/>
              </w:numPr>
              <w:rPr>
                <w:rFonts w:ascii="Arial" w:hAnsi="Arial"/>
                <w:sz w:val="22"/>
              </w:rPr>
            </w:pPr>
            <w:r>
              <w:rPr>
                <w:rFonts w:ascii="Arial" w:hAnsi="Arial"/>
                <w:sz w:val="22"/>
              </w:rPr>
              <w:t xml:space="preserve">To ensure timely progress of the site works and to undertake intrusive works that will inform </w:t>
            </w:r>
            <w:r w:rsidR="009C4C4B">
              <w:rPr>
                <w:rFonts w:ascii="Arial" w:hAnsi="Arial"/>
                <w:sz w:val="22"/>
              </w:rPr>
              <w:t>t</w:t>
            </w:r>
            <w:r>
              <w:rPr>
                <w:rFonts w:ascii="Arial" w:hAnsi="Arial"/>
                <w:sz w:val="22"/>
              </w:rPr>
              <w:t>he design and de-risk the project.</w:t>
            </w:r>
          </w:p>
          <w:p w14:paraId="78E9E9C4" w14:textId="63182468" w:rsidR="00C63651" w:rsidRDefault="00C63651" w:rsidP="00C63651">
            <w:pPr>
              <w:rPr>
                <w:rFonts w:ascii="Arial" w:hAnsi="Arial"/>
                <w:sz w:val="22"/>
              </w:rPr>
            </w:pPr>
          </w:p>
          <w:p w14:paraId="30398831" w14:textId="5904EED9" w:rsidR="00C63651" w:rsidRDefault="00C63651" w:rsidP="00C63651">
            <w:pPr>
              <w:rPr>
                <w:rFonts w:ascii="Arial" w:hAnsi="Arial"/>
                <w:sz w:val="22"/>
              </w:rPr>
            </w:pPr>
            <w:r>
              <w:rPr>
                <w:rFonts w:ascii="Arial" w:hAnsi="Arial"/>
                <w:sz w:val="22"/>
              </w:rPr>
              <w:t>Appointment of a Contractor:</w:t>
            </w:r>
          </w:p>
          <w:p w14:paraId="6D2C5EA3" w14:textId="03F27EAF" w:rsidR="00C63651" w:rsidRPr="00C63651" w:rsidRDefault="00C63651" w:rsidP="00C63651">
            <w:pPr>
              <w:pStyle w:val="NoSpacing"/>
              <w:numPr>
                <w:ilvl w:val="0"/>
                <w:numId w:val="1"/>
              </w:numPr>
              <w:jc w:val="both"/>
              <w:rPr>
                <w:rFonts w:ascii="Arial" w:hAnsi="Arial" w:cs="Arial"/>
                <w:sz w:val="22"/>
                <w:szCs w:val="22"/>
              </w:rPr>
            </w:pPr>
            <w:r>
              <w:rPr>
                <w:rFonts w:ascii="Arial" w:hAnsi="Arial" w:cs="Arial"/>
                <w:sz w:val="22"/>
                <w:szCs w:val="22"/>
              </w:rPr>
              <w:t>It is recommended a</w:t>
            </w:r>
            <w:r w:rsidRPr="00C63651">
              <w:rPr>
                <w:rFonts w:ascii="Arial" w:hAnsi="Arial" w:cs="Arial"/>
                <w:sz w:val="22"/>
                <w:szCs w:val="22"/>
              </w:rPr>
              <w:t xml:space="preserve"> competitive tender process is used, through an appropriate compliant procurement framework, to facilitate the selection of a Contractor. The use of a framework means that a qualitative assessment has already been established by the framework application process. In parallel to the Consultant selection, we suggest that we carry out some early Contractor engagement via a formal Expression of Interest process, which should be quick to mobil</w:t>
            </w:r>
            <w:r w:rsidR="009C4C4B">
              <w:rPr>
                <w:rFonts w:ascii="Arial" w:hAnsi="Arial" w:cs="Arial"/>
                <w:sz w:val="22"/>
                <w:szCs w:val="22"/>
              </w:rPr>
              <w:t>ise</w:t>
            </w:r>
            <w:r w:rsidRPr="00C63651">
              <w:rPr>
                <w:rFonts w:ascii="Arial" w:hAnsi="Arial" w:cs="Arial"/>
                <w:sz w:val="22"/>
                <w:szCs w:val="22"/>
              </w:rPr>
              <w:t xml:space="preserve"> early in the New Year.</w:t>
            </w:r>
          </w:p>
          <w:p w14:paraId="5A37857B" w14:textId="77777777" w:rsidR="00C63651" w:rsidRPr="00C63651" w:rsidRDefault="00C63651" w:rsidP="00C63651">
            <w:pPr>
              <w:pStyle w:val="NoSpacing"/>
              <w:jc w:val="both"/>
              <w:rPr>
                <w:rFonts w:ascii="Arial" w:hAnsi="Arial" w:cs="Arial"/>
                <w:sz w:val="22"/>
                <w:szCs w:val="22"/>
              </w:rPr>
            </w:pPr>
          </w:p>
          <w:p w14:paraId="1F0899AD" w14:textId="568C15AB" w:rsidR="00C63651" w:rsidRDefault="00C63651" w:rsidP="00C63651">
            <w:pPr>
              <w:pStyle w:val="NoSpacing"/>
              <w:numPr>
                <w:ilvl w:val="0"/>
                <w:numId w:val="1"/>
              </w:numPr>
              <w:jc w:val="both"/>
              <w:rPr>
                <w:rFonts w:ascii="Arial" w:hAnsi="Arial" w:cs="Arial"/>
                <w:sz w:val="22"/>
                <w:szCs w:val="22"/>
              </w:rPr>
            </w:pPr>
            <w:r w:rsidRPr="00C63651">
              <w:rPr>
                <w:rFonts w:ascii="Arial" w:hAnsi="Arial" w:cs="Arial"/>
                <w:sz w:val="22"/>
                <w:szCs w:val="22"/>
              </w:rPr>
              <w:t>Avoiding an open tender arrangement is important as it is likely that we may receive an extensive response from the market. The appraisal, moderation and challenge process could well be lengthy and an unnecessary distraction and may result in a wide variation in quality of the submissions.</w:t>
            </w:r>
          </w:p>
          <w:p w14:paraId="385A2425" w14:textId="77777777" w:rsidR="00C63651" w:rsidRDefault="00C63651" w:rsidP="00C63651">
            <w:pPr>
              <w:pStyle w:val="ListParagraph"/>
              <w:rPr>
                <w:rFonts w:ascii="Arial" w:hAnsi="Arial" w:cs="Arial"/>
                <w:sz w:val="22"/>
                <w:szCs w:val="22"/>
              </w:rPr>
            </w:pPr>
          </w:p>
          <w:p w14:paraId="57281929" w14:textId="40BB3030" w:rsidR="00C63651" w:rsidRDefault="00E23E29" w:rsidP="00C63651">
            <w:pPr>
              <w:pStyle w:val="NoSpacing"/>
              <w:numPr>
                <w:ilvl w:val="0"/>
                <w:numId w:val="1"/>
              </w:numPr>
              <w:jc w:val="both"/>
              <w:rPr>
                <w:rFonts w:ascii="Arial" w:hAnsi="Arial" w:cs="Arial"/>
                <w:sz w:val="22"/>
                <w:szCs w:val="22"/>
              </w:rPr>
            </w:pPr>
            <w:r>
              <w:rPr>
                <w:rFonts w:ascii="Arial" w:hAnsi="Arial" w:cs="Arial"/>
                <w:sz w:val="22"/>
                <w:szCs w:val="22"/>
              </w:rPr>
              <w:t>The framework options have been considered which offer a single stage tender and have a tender list of local contractors.</w:t>
            </w:r>
          </w:p>
          <w:p w14:paraId="3FFCE961" w14:textId="77777777" w:rsidR="00E23E29" w:rsidRDefault="00E23E29" w:rsidP="00E23E29">
            <w:pPr>
              <w:pStyle w:val="ListParagraph"/>
              <w:rPr>
                <w:rFonts w:ascii="Arial" w:hAnsi="Arial" w:cs="Arial"/>
                <w:sz w:val="22"/>
                <w:szCs w:val="22"/>
              </w:rPr>
            </w:pPr>
          </w:p>
          <w:p w14:paraId="6834786D" w14:textId="77777777" w:rsidR="00E23E29" w:rsidRPr="00C63651" w:rsidRDefault="00E23E29" w:rsidP="00E23E29">
            <w:pPr>
              <w:pStyle w:val="NoSpacing"/>
              <w:ind w:left="720"/>
              <w:jc w:val="both"/>
              <w:rPr>
                <w:rFonts w:ascii="Arial" w:hAnsi="Arial" w:cs="Arial"/>
                <w:sz w:val="22"/>
                <w:szCs w:val="22"/>
              </w:rPr>
            </w:pPr>
          </w:p>
          <w:p w14:paraId="22420766" w14:textId="77777777" w:rsidR="00E23E29" w:rsidRPr="00E23E29" w:rsidRDefault="00E23E29" w:rsidP="00E23E29">
            <w:pPr>
              <w:pStyle w:val="NoSpacing"/>
              <w:jc w:val="both"/>
              <w:rPr>
                <w:rFonts w:ascii="Arial" w:hAnsi="Arial" w:cs="Arial"/>
                <w:sz w:val="22"/>
                <w:szCs w:val="22"/>
              </w:rPr>
            </w:pPr>
            <w:r w:rsidRPr="00E23E29">
              <w:rPr>
                <w:rFonts w:ascii="Arial" w:hAnsi="Arial" w:cs="Arial"/>
                <w:sz w:val="22"/>
                <w:szCs w:val="22"/>
              </w:rPr>
              <w:t xml:space="preserve">The table below shows the most appropriate framework options available. </w:t>
            </w:r>
          </w:p>
          <w:p w14:paraId="5A22A487" w14:textId="77777777" w:rsidR="00E23E29" w:rsidRPr="00E23E29" w:rsidRDefault="00E23E29" w:rsidP="00E23E29">
            <w:pPr>
              <w:pStyle w:val="NoSpacing"/>
              <w:jc w:val="both"/>
              <w:rPr>
                <w:rFonts w:ascii="Arial" w:hAnsi="Arial" w:cs="Arial"/>
                <w:sz w:val="22"/>
                <w:szCs w:val="22"/>
              </w:rPr>
            </w:pPr>
          </w:p>
          <w:tbl>
            <w:tblPr>
              <w:tblStyle w:val="TableGrid"/>
              <w:tblW w:w="5997" w:type="dxa"/>
              <w:tblInd w:w="0" w:type="dxa"/>
              <w:tblLayout w:type="fixed"/>
              <w:tblLook w:val="04A0" w:firstRow="1" w:lastRow="0" w:firstColumn="1" w:lastColumn="0" w:noHBand="0" w:noVBand="1"/>
            </w:tblPr>
            <w:tblGrid>
              <w:gridCol w:w="1440"/>
              <w:gridCol w:w="999"/>
              <w:gridCol w:w="463"/>
              <w:gridCol w:w="1701"/>
              <w:gridCol w:w="1394"/>
            </w:tblGrid>
            <w:tr w:rsidR="00E23E29" w:rsidRPr="00E23E29" w14:paraId="3745CCC8" w14:textId="77777777" w:rsidTr="00E23E29">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EC307" w14:textId="77777777" w:rsidR="00E23E29" w:rsidRPr="00E23E29" w:rsidRDefault="00E23E29" w:rsidP="00E23E29">
                  <w:pPr>
                    <w:spacing w:line="360" w:lineRule="auto"/>
                    <w:jc w:val="both"/>
                    <w:rPr>
                      <w:rFonts w:ascii="Arial" w:hAnsi="Arial" w:cs="Arial"/>
                      <w:b/>
                      <w:bCs/>
                      <w:sz w:val="22"/>
                    </w:rPr>
                  </w:pPr>
                  <w:r w:rsidRPr="00E23E29">
                    <w:rPr>
                      <w:rFonts w:ascii="Arial" w:hAnsi="Arial" w:cs="Arial"/>
                      <w:b/>
                      <w:bCs/>
                      <w:sz w:val="22"/>
                    </w:rPr>
                    <w:t>Framework</w:t>
                  </w:r>
                </w:p>
              </w:tc>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CEAA4" w14:textId="77777777" w:rsidR="00E23E29" w:rsidRPr="00E23E29" w:rsidRDefault="00E23E29" w:rsidP="00E23E29">
                  <w:pPr>
                    <w:spacing w:line="360" w:lineRule="auto"/>
                    <w:jc w:val="both"/>
                    <w:rPr>
                      <w:rFonts w:ascii="Arial" w:hAnsi="Arial" w:cs="Arial"/>
                      <w:b/>
                      <w:bCs/>
                      <w:sz w:val="22"/>
                    </w:rPr>
                  </w:pPr>
                  <w:r w:rsidRPr="00E23E29">
                    <w:rPr>
                      <w:rFonts w:ascii="Arial" w:hAnsi="Arial" w:cs="Arial"/>
                      <w:b/>
                      <w:bCs/>
                      <w:sz w:val="22"/>
                    </w:rPr>
                    <w:t>Value Band</w:t>
                  </w:r>
                </w:p>
              </w:tc>
              <w:tc>
                <w:tcPr>
                  <w:tcW w:w="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25C3C" w14:textId="77777777" w:rsidR="00E23E29" w:rsidRPr="00E23E29" w:rsidRDefault="00E23E29" w:rsidP="00E23E29">
                  <w:pPr>
                    <w:spacing w:line="360" w:lineRule="auto"/>
                    <w:jc w:val="both"/>
                    <w:rPr>
                      <w:rFonts w:ascii="Arial" w:hAnsi="Arial" w:cs="Arial"/>
                      <w:b/>
                      <w:bCs/>
                      <w:sz w:val="22"/>
                    </w:rPr>
                  </w:pPr>
                  <w:r w:rsidRPr="00E23E29">
                    <w:rPr>
                      <w:rFonts w:ascii="Arial" w:hAnsi="Arial" w:cs="Arial"/>
                      <w:b/>
                      <w:bCs/>
                      <w:sz w:val="22"/>
                    </w:rPr>
                    <w:t>Lot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B94EA7" w14:textId="77777777" w:rsidR="00E23E29" w:rsidRPr="00E23E29" w:rsidRDefault="00E23E29" w:rsidP="00E23E29">
                  <w:pPr>
                    <w:spacing w:line="360" w:lineRule="auto"/>
                    <w:jc w:val="both"/>
                    <w:rPr>
                      <w:rFonts w:ascii="Arial" w:hAnsi="Arial" w:cs="Arial"/>
                      <w:b/>
                      <w:bCs/>
                      <w:sz w:val="22"/>
                    </w:rPr>
                  </w:pPr>
                  <w:r w:rsidRPr="00E23E29">
                    <w:rPr>
                      <w:rFonts w:ascii="Arial" w:hAnsi="Arial" w:cs="Arial"/>
                      <w:b/>
                      <w:bCs/>
                      <w:sz w:val="22"/>
                    </w:rPr>
                    <w:t>Contractors</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B22E1" w14:textId="77777777" w:rsidR="00E23E29" w:rsidRPr="00E23E29" w:rsidRDefault="00E23E29" w:rsidP="00E23E29">
                  <w:pPr>
                    <w:spacing w:line="360" w:lineRule="auto"/>
                    <w:jc w:val="both"/>
                    <w:rPr>
                      <w:rFonts w:ascii="Arial" w:hAnsi="Arial" w:cs="Arial"/>
                      <w:b/>
                      <w:bCs/>
                      <w:sz w:val="22"/>
                    </w:rPr>
                  </w:pPr>
                  <w:r w:rsidRPr="00E23E29">
                    <w:rPr>
                      <w:rFonts w:ascii="Arial" w:hAnsi="Arial" w:cs="Arial"/>
                      <w:b/>
                      <w:bCs/>
                      <w:sz w:val="22"/>
                    </w:rPr>
                    <w:t>Award Options</w:t>
                  </w:r>
                </w:p>
              </w:tc>
            </w:tr>
            <w:tr w:rsidR="00E23E29" w:rsidRPr="00E23E29" w14:paraId="7580DD5A" w14:textId="77777777" w:rsidTr="00E23E29">
              <w:tc>
                <w:tcPr>
                  <w:tcW w:w="1440" w:type="dxa"/>
                  <w:tcBorders>
                    <w:top w:val="single" w:sz="4" w:space="0" w:color="auto"/>
                    <w:left w:val="single" w:sz="4" w:space="0" w:color="auto"/>
                    <w:bottom w:val="single" w:sz="4" w:space="0" w:color="auto"/>
                    <w:right w:val="single" w:sz="4" w:space="0" w:color="auto"/>
                  </w:tcBorders>
                  <w:hideMark/>
                </w:tcPr>
                <w:p w14:paraId="0BCDF398"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North West</w:t>
                  </w:r>
                </w:p>
                <w:p w14:paraId="7706C703"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Construction Hub</w:t>
                  </w:r>
                </w:p>
              </w:tc>
              <w:tc>
                <w:tcPr>
                  <w:tcW w:w="999" w:type="dxa"/>
                  <w:tcBorders>
                    <w:top w:val="single" w:sz="4" w:space="0" w:color="auto"/>
                    <w:left w:val="single" w:sz="4" w:space="0" w:color="auto"/>
                    <w:bottom w:val="single" w:sz="4" w:space="0" w:color="auto"/>
                    <w:right w:val="single" w:sz="4" w:space="0" w:color="auto"/>
                  </w:tcBorders>
                  <w:hideMark/>
                </w:tcPr>
                <w:p w14:paraId="5A0DB227" w14:textId="77777777" w:rsidR="00E23E29" w:rsidRPr="00E23E29" w:rsidRDefault="00E23E29" w:rsidP="00E23E29">
                  <w:pPr>
                    <w:spacing w:line="360" w:lineRule="auto"/>
                    <w:ind w:left="-494" w:firstLine="494"/>
                    <w:jc w:val="both"/>
                    <w:rPr>
                      <w:rFonts w:ascii="Arial" w:hAnsi="Arial" w:cs="Arial"/>
                      <w:sz w:val="22"/>
                    </w:rPr>
                  </w:pPr>
                  <w:r w:rsidRPr="00E23E29">
                    <w:rPr>
                      <w:rFonts w:ascii="Arial" w:hAnsi="Arial" w:cs="Arial"/>
                      <w:sz w:val="22"/>
                    </w:rPr>
                    <w:t>£500k-£3m</w:t>
                  </w:r>
                </w:p>
              </w:tc>
              <w:tc>
                <w:tcPr>
                  <w:tcW w:w="463" w:type="dxa"/>
                  <w:tcBorders>
                    <w:top w:val="single" w:sz="4" w:space="0" w:color="auto"/>
                    <w:left w:val="single" w:sz="4" w:space="0" w:color="auto"/>
                    <w:bottom w:val="single" w:sz="4" w:space="0" w:color="auto"/>
                    <w:right w:val="single" w:sz="4" w:space="0" w:color="auto"/>
                  </w:tcBorders>
                  <w:hideMark/>
                </w:tcPr>
                <w:p w14:paraId="5A7869F1"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1</w:t>
                  </w:r>
                </w:p>
              </w:tc>
              <w:tc>
                <w:tcPr>
                  <w:tcW w:w="1701" w:type="dxa"/>
                  <w:tcBorders>
                    <w:top w:val="single" w:sz="4" w:space="0" w:color="auto"/>
                    <w:left w:val="single" w:sz="4" w:space="0" w:color="auto"/>
                    <w:bottom w:val="single" w:sz="4" w:space="0" w:color="auto"/>
                    <w:right w:val="single" w:sz="4" w:space="0" w:color="auto"/>
                  </w:tcBorders>
                  <w:hideMark/>
                </w:tcPr>
                <w:p w14:paraId="58853258"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 xml:space="preserve">Conlon, Engie, Eric Wright, John Turner, Kier, Manchester &amp; </w:t>
                  </w:r>
                  <w:r w:rsidRPr="00E23E29">
                    <w:rPr>
                      <w:rFonts w:ascii="Arial" w:hAnsi="Arial" w:cs="Arial"/>
                      <w:sz w:val="22"/>
                    </w:rPr>
                    <w:lastRenderedPageBreak/>
                    <w:t>Cheshire, Warden</w:t>
                  </w:r>
                </w:p>
              </w:tc>
              <w:tc>
                <w:tcPr>
                  <w:tcW w:w="1394" w:type="dxa"/>
                  <w:tcBorders>
                    <w:top w:val="single" w:sz="4" w:space="0" w:color="auto"/>
                    <w:left w:val="single" w:sz="4" w:space="0" w:color="auto"/>
                    <w:bottom w:val="single" w:sz="4" w:space="0" w:color="auto"/>
                    <w:right w:val="single" w:sz="4" w:space="0" w:color="auto"/>
                  </w:tcBorders>
                  <w:hideMark/>
                </w:tcPr>
                <w:p w14:paraId="08E9341C"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lastRenderedPageBreak/>
                    <w:t>2 stage only</w:t>
                  </w:r>
                </w:p>
              </w:tc>
            </w:tr>
            <w:tr w:rsidR="00E23E29" w:rsidRPr="00E23E29" w14:paraId="7DCEBDB6" w14:textId="77777777" w:rsidTr="00E23E29">
              <w:tc>
                <w:tcPr>
                  <w:tcW w:w="1440" w:type="dxa"/>
                  <w:tcBorders>
                    <w:top w:val="single" w:sz="4" w:space="0" w:color="auto"/>
                    <w:left w:val="single" w:sz="4" w:space="0" w:color="auto"/>
                    <w:bottom w:val="single" w:sz="4" w:space="0" w:color="auto"/>
                    <w:right w:val="single" w:sz="4" w:space="0" w:color="auto"/>
                  </w:tcBorders>
                  <w:hideMark/>
                </w:tcPr>
                <w:p w14:paraId="6BB8B4F6"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Procure NW</w:t>
                  </w:r>
                </w:p>
              </w:tc>
              <w:tc>
                <w:tcPr>
                  <w:tcW w:w="999" w:type="dxa"/>
                  <w:tcBorders>
                    <w:top w:val="single" w:sz="4" w:space="0" w:color="auto"/>
                    <w:left w:val="single" w:sz="4" w:space="0" w:color="auto"/>
                    <w:bottom w:val="single" w:sz="4" w:space="0" w:color="auto"/>
                    <w:right w:val="single" w:sz="4" w:space="0" w:color="auto"/>
                  </w:tcBorders>
                  <w:hideMark/>
                </w:tcPr>
                <w:p w14:paraId="28033788"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£1m-£5m</w:t>
                  </w:r>
                </w:p>
              </w:tc>
              <w:tc>
                <w:tcPr>
                  <w:tcW w:w="463" w:type="dxa"/>
                  <w:tcBorders>
                    <w:top w:val="single" w:sz="4" w:space="0" w:color="auto"/>
                    <w:left w:val="single" w:sz="4" w:space="0" w:color="auto"/>
                    <w:bottom w:val="single" w:sz="4" w:space="0" w:color="auto"/>
                    <w:right w:val="single" w:sz="4" w:space="0" w:color="auto"/>
                  </w:tcBorders>
                  <w:hideMark/>
                </w:tcPr>
                <w:p w14:paraId="1E76211E"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NW</w:t>
                  </w:r>
                </w:p>
              </w:tc>
              <w:tc>
                <w:tcPr>
                  <w:tcW w:w="1701" w:type="dxa"/>
                  <w:tcBorders>
                    <w:top w:val="single" w:sz="4" w:space="0" w:color="auto"/>
                    <w:left w:val="single" w:sz="4" w:space="0" w:color="auto"/>
                    <w:bottom w:val="single" w:sz="4" w:space="0" w:color="auto"/>
                    <w:right w:val="single" w:sz="4" w:space="0" w:color="auto"/>
                  </w:tcBorders>
                  <w:hideMark/>
                </w:tcPr>
                <w:p w14:paraId="34E14508"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Casey, Crossfield, Eric Wright, ESH Build, Henry Boot, Seddon, Whitfield &amp; Brown</w:t>
                  </w:r>
                </w:p>
              </w:tc>
              <w:tc>
                <w:tcPr>
                  <w:tcW w:w="1394" w:type="dxa"/>
                  <w:tcBorders>
                    <w:top w:val="single" w:sz="4" w:space="0" w:color="auto"/>
                    <w:left w:val="single" w:sz="4" w:space="0" w:color="auto"/>
                    <w:bottom w:val="single" w:sz="4" w:space="0" w:color="auto"/>
                    <w:right w:val="single" w:sz="4" w:space="0" w:color="auto"/>
                  </w:tcBorders>
                  <w:hideMark/>
                </w:tcPr>
                <w:p w14:paraId="4122022C"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 xml:space="preserve">Single stage; </w:t>
                  </w:r>
                </w:p>
                <w:p w14:paraId="50BA29A6"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 xml:space="preserve">2 stage; </w:t>
                  </w:r>
                </w:p>
                <w:p w14:paraId="10DCB314"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Direct</w:t>
                  </w:r>
                </w:p>
              </w:tc>
            </w:tr>
            <w:tr w:rsidR="00E23E29" w:rsidRPr="00E23E29" w14:paraId="31E94776" w14:textId="77777777" w:rsidTr="00E23E29">
              <w:tc>
                <w:tcPr>
                  <w:tcW w:w="1440" w:type="dxa"/>
                  <w:tcBorders>
                    <w:top w:val="single" w:sz="4" w:space="0" w:color="auto"/>
                    <w:left w:val="single" w:sz="4" w:space="0" w:color="auto"/>
                    <w:bottom w:val="single" w:sz="4" w:space="0" w:color="auto"/>
                    <w:right w:val="single" w:sz="4" w:space="0" w:color="auto"/>
                  </w:tcBorders>
                  <w:hideMark/>
                </w:tcPr>
                <w:p w14:paraId="7F50D8D6"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Pagabo</w:t>
                  </w:r>
                </w:p>
              </w:tc>
              <w:tc>
                <w:tcPr>
                  <w:tcW w:w="999" w:type="dxa"/>
                  <w:tcBorders>
                    <w:top w:val="single" w:sz="4" w:space="0" w:color="auto"/>
                    <w:left w:val="single" w:sz="4" w:space="0" w:color="auto"/>
                    <w:bottom w:val="single" w:sz="4" w:space="0" w:color="auto"/>
                    <w:right w:val="single" w:sz="4" w:space="0" w:color="auto"/>
                  </w:tcBorders>
                  <w:hideMark/>
                </w:tcPr>
                <w:p w14:paraId="5B9B9555"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£1m-£5m</w:t>
                  </w:r>
                </w:p>
              </w:tc>
              <w:tc>
                <w:tcPr>
                  <w:tcW w:w="463" w:type="dxa"/>
                  <w:tcBorders>
                    <w:top w:val="single" w:sz="4" w:space="0" w:color="auto"/>
                    <w:left w:val="single" w:sz="4" w:space="0" w:color="auto"/>
                    <w:bottom w:val="single" w:sz="4" w:space="0" w:color="auto"/>
                    <w:right w:val="single" w:sz="4" w:space="0" w:color="auto"/>
                  </w:tcBorders>
                  <w:hideMark/>
                </w:tcPr>
                <w:p w14:paraId="7ABCC700"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2</w:t>
                  </w:r>
                </w:p>
                <w:p w14:paraId="372B4522" w14:textId="77777777" w:rsidR="00E23E29" w:rsidRPr="00E23E29" w:rsidRDefault="00E23E29" w:rsidP="00E23E29">
                  <w:pPr>
                    <w:spacing w:line="360" w:lineRule="auto"/>
                    <w:jc w:val="both"/>
                    <w:rPr>
                      <w:rFonts w:ascii="Arial" w:hAnsi="Arial" w:cs="Arial"/>
                      <w:sz w:val="22"/>
                    </w:rPr>
                  </w:pPr>
                  <w:proofErr w:type="spellStart"/>
                  <w:r w:rsidRPr="00E23E29">
                    <w:rPr>
                      <w:rFonts w:ascii="Arial" w:hAnsi="Arial" w:cs="Arial"/>
                      <w:sz w:val="22"/>
                    </w:rPr>
                    <w:t>Lancs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2080631"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 xml:space="preserve">Conlon, Engie, </w:t>
                  </w:r>
                  <w:proofErr w:type="spellStart"/>
                  <w:r w:rsidRPr="00E23E29">
                    <w:rPr>
                      <w:rFonts w:ascii="Arial" w:hAnsi="Arial" w:cs="Arial"/>
                      <w:sz w:val="22"/>
                    </w:rPr>
                    <w:t>Esh</w:t>
                  </w:r>
                  <w:proofErr w:type="spellEnd"/>
                  <w:r w:rsidRPr="00E23E29">
                    <w:rPr>
                      <w:rFonts w:ascii="Arial" w:hAnsi="Arial" w:cs="Arial"/>
                      <w:sz w:val="22"/>
                    </w:rPr>
                    <w:t xml:space="preserve"> Construction, Interserve, Morgan Sindall, Robertson, Seddon, Casey, </w:t>
                  </w:r>
                  <w:proofErr w:type="spellStart"/>
                  <w:r w:rsidRPr="00E23E29">
                    <w:rPr>
                      <w:rFonts w:ascii="Arial" w:hAnsi="Arial" w:cs="Arial"/>
                      <w:sz w:val="22"/>
                    </w:rPr>
                    <w:t>Carefoot</w:t>
                  </w:r>
                  <w:proofErr w:type="spellEnd"/>
                </w:p>
              </w:tc>
              <w:tc>
                <w:tcPr>
                  <w:tcW w:w="1394" w:type="dxa"/>
                  <w:tcBorders>
                    <w:top w:val="single" w:sz="4" w:space="0" w:color="auto"/>
                    <w:left w:val="single" w:sz="4" w:space="0" w:color="auto"/>
                    <w:bottom w:val="single" w:sz="4" w:space="0" w:color="auto"/>
                    <w:right w:val="single" w:sz="4" w:space="0" w:color="auto"/>
                  </w:tcBorders>
                  <w:hideMark/>
                </w:tcPr>
                <w:p w14:paraId="58E23B4C"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 xml:space="preserve">Single stage; </w:t>
                  </w:r>
                </w:p>
                <w:p w14:paraId="7A09C6F8"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 xml:space="preserve">2 stage; </w:t>
                  </w:r>
                </w:p>
                <w:p w14:paraId="64231BAA"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Direct</w:t>
                  </w:r>
                </w:p>
              </w:tc>
            </w:tr>
            <w:tr w:rsidR="00E23E29" w:rsidRPr="00E23E29" w14:paraId="61A3FB03" w14:textId="77777777" w:rsidTr="00E23E29">
              <w:tc>
                <w:tcPr>
                  <w:tcW w:w="1440" w:type="dxa"/>
                  <w:tcBorders>
                    <w:top w:val="single" w:sz="4" w:space="0" w:color="auto"/>
                    <w:left w:val="single" w:sz="4" w:space="0" w:color="auto"/>
                    <w:bottom w:val="single" w:sz="4" w:space="0" w:color="auto"/>
                    <w:right w:val="single" w:sz="4" w:space="0" w:color="auto"/>
                  </w:tcBorders>
                  <w:hideMark/>
                </w:tcPr>
                <w:p w14:paraId="5D6759A0"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 xml:space="preserve">Rise </w:t>
                  </w:r>
                </w:p>
              </w:tc>
              <w:tc>
                <w:tcPr>
                  <w:tcW w:w="999" w:type="dxa"/>
                  <w:tcBorders>
                    <w:top w:val="single" w:sz="4" w:space="0" w:color="auto"/>
                    <w:left w:val="single" w:sz="4" w:space="0" w:color="auto"/>
                    <w:bottom w:val="single" w:sz="4" w:space="0" w:color="auto"/>
                    <w:right w:val="single" w:sz="4" w:space="0" w:color="auto"/>
                  </w:tcBorders>
                  <w:hideMark/>
                </w:tcPr>
                <w:p w14:paraId="60E62E35"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£50k-£4m</w:t>
                  </w:r>
                </w:p>
              </w:tc>
              <w:tc>
                <w:tcPr>
                  <w:tcW w:w="463" w:type="dxa"/>
                  <w:tcBorders>
                    <w:top w:val="single" w:sz="4" w:space="0" w:color="auto"/>
                    <w:left w:val="single" w:sz="4" w:space="0" w:color="auto"/>
                    <w:bottom w:val="single" w:sz="4" w:space="0" w:color="auto"/>
                    <w:right w:val="single" w:sz="4" w:space="0" w:color="auto"/>
                  </w:tcBorders>
                  <w:hideMark/>
                </w:tcPr>
                <w:p w14:paraId="79879459"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Band 1</w:t>
                  </w:r>
                </w:p>
              </w:tc>
              <w:tc>
                <w:tcPr>
                  <w:tcW w:w="1701" w:type="dxa"/>
                  <w:tcBorders>
                    <w:top w:val="single" w:sz="4" w:space="0" w:color="auto"/>
                    <w:left w:val="single" w:sz="4" w:space="0" w:color="auto"/>
                    <w:bottom w:val="single" w:sz="4" w:space="0" w:color="auto"/>
                    <w:right w:val="single" w:sz="4" w:space="0" w:color="auto"/>
                  </w:tcBorders>
                  <w:hideMark/>
                </w:tcPr>
                <w:p w14:paraId="61530627"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 xml:space="preserve">Ashlar, </w:t>
                  </w:r>
                  <w:proofErr w:type="spellStart"/>
                  <w:r w:rsidRPr="00E23E29">
                    <w:rPr>
                      <w:rFonts w:ascii="Arial" w:hAnsi="Arial" w:cs="Arial"/>
                      <w:sz w:val="22"/>
                    </w:rPr>
                    <w:t>Carefoot</w:t>
                  </w:r>
                  <w:proofErr w:type="spellEnd"/>
                  <w:r w:rsidRPr="00E23E29">
                    <w:rPr>
                      <w:rFonts w:ascii="Arial" w:hAnsi="Arial" w:cs="Arial"/>
                      <w:sz w:val="22"/>
                    </w:rPr>
                    <w:t>, City Build, F Parkinson, John Turner, Manchester &amp; Cheshire, Skyline, Casey</w:t>
                  </w:r>
                </w:p>
              </w:tc>
              <w:tc>
                <w:tcPr>
                  <w:tcW w:w="1394" w:type="dxa"/>
                  <w:tcBorders>
                    <w:top w:val="single" w:sz="4" w:space="0" w:color="auto"/>
                    <w:left w:val="single" w:sz="4" w:space="0" w:color="auto"/>
                    <w:bottom w:val="single" w:sz="4" w:space="0" w:color="auto"/>
                    <w:right w:val="single" w:sz="4" w:space="0" w:color="auto"/>
                  </w:tcBorders>
                  <w:hideMark/>
                </w:tcPr>
                <w:p w14:paraId="491FEEB1"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 xml:space="preserve">Single stage; 2 stage; </w:t>
                  </w:r>
                </w:p>
                <w:p w14:paraId="6914E50C" w14:textId="77777777" w:rsidR="00E23E29" w:rsidRPr="00E23E29" w:rsidRDefault="00E23E29" w:rsidP="00E23E29">
                  <w:pPr>
                    <w:spacing w:line="360" w:lineRule="auto"/>
                    <w:jc w:val="both"/>
                    <w:rPr>
                      <w:rFonts w:ascii="Arial" w:hAnsi="Arial" w:cs="Arial"/>
                      <w:sz w:val="22"/>
                    </w:rPr>
                  </w:pPr>
                  <w:r w:rsidRPr="00E23E29">
                    <w:rPr>
                      <w:rFonts w:ascii="Arial" w:hAnsi="Arial" w:cs="Arial"/>
                      <w:sz w:val="22"/>
                    </w:rPr>
                    <w:t>Direct</w:t>
                  </w:r>
                </w:p>
              </w:tc>
            </w:tr>
          </w:tbl>
          <w:p w14:paraId="6ADFE2A7" w14:textId="77777777" w:rsidR="00E23E29" w:rsidRPr="00E23E29" w:rsidRDefault="00E23E29" w:rsidP="00E23E29">
            <w:pPr>
              <w:pStyle w:val="NoSpacing"/>
              <w:jc w:val="both"/>
              <w:rPr>
                <w:rFonts w:ascii="Arial" w:hAnsi="Arial" w:cs="Arial"/>
                <w:sz w:val="22"/>
                <w:szCs w:val="22"/>
              </w:rPr>
            </w:pPr>
          </w:p>
          <w:p w14:paraId="2A070898" w14:textId="5B6EB469" w:rsidR="00E23E29" w:rsidRDefault="00E23E29" w:rsidP="00E23E29">
            <w:pPr>
              <w:pStyle w:val="NoSpacing"/>
              <w:jc w:val="both"/>
            </w:pPr>
            <w:r w:rsidRPr="00E23E29">
              <w:rPr>
                <w:rFonts w:ascii="Arial" w:hAnsi="Arial" w:cs="Arial"/>
                <w:sz w:val="22"/>
                <w:szCs w:val="22"/>
              </w:rPr>
              <w:t xml:space="preserve">Whilst the North West Construction Hub perhaps has the best mix of Contractors, unfortunately they only support 2 stage tender options. As such the Rise framework </w:t>
            </w:r>
            <w:r>
              <w:rPr>
                <w:rFonts w:ascii="Arial" w:hAnsi="Arial" w:cs="Arial"/>
                <w:sz w:val="22"/>
                <w:szCs w:val="22"/>
              </w:rPr>
              <w:t>is</w:t>
            </w:r>
            <w:r w:rsidRPr="00E23E29">
              <w:rPr>
                <w:rFonts w:ascii="Arial" w:hAnsi="Arial" w:cs="Arial"/>
                <w:sz w:val="22"/>
                <w:szCs w:val="22"/>
              </w:rPr>
              <w:t xml:space="preserve"> considered most appropriate</w:t>
            </w:r>
            <w:r>
              <w:t>.</w:t>
            </w:r>
          </w:p>
          <w:p w14:paraId="72DCBBC1" w14:textId="410C0200" w:rsidR="00C63651" w:rsidRDefault="00C63651" w:rsidP="00C63651">
            <w:pPr>
              <w:rPr>
                <w:rFonts w:ascii="Arial" w:hAnsi="Arial"/>
                <w:sz w:val="22"/>
              </w:rPr>
            </w:pPr>
          </w:p>
          <w:p w14:paraId="04B59C63" w14:textId="6443930A" w:rsidR="00E23E29" w:rsidRDefault="00E23E29" w:rsidP="00E23E29">
            <w:pPr>
              <w:pStyle w:val="ListParagraph"/>
              <w:numPr>
                <w:ilvl w:val="0"/>
                <w:numId w:val="2"/>
              </w:numPr>
              <w:rPr>
                <w:rFonts w:ascii="Arial" w:hAnsi="Arial"/>
                <w:sz w:val="22"/>
              </w:rPr>
            </w:pPr>
            <w:r w:rsidRPr="00E23E29">
              <w:rPr>
                <w:rFonts w:ascii="Arial" w:hAnsi="Arial"/>
                <w:sz w:val="22"/>
              </w:rPr>
              <w:t xml:space="preserve">A traditional </w:t>
            </w:r>
            <w:r>
              <w:rPr>
                <w:rFonts w:ascii="Arial" w:hAnsi="Arial"/>
                <w:sz w:val="22"/>
              </w:rPr>
              <w:t>tendering approach will be adopted for the Contractor appointment:</w:t>
            </w:r>
          </w:p>
          <w:p w14:paraId="0F6CD23C" w14:textId="77777777" w:rsidR="00E23E29" w:rsidRDefault="00E23E29" w:rsidP="00E23E29">
            <w:pPr>
              <w:pStyle w:val="ListParagraph"/>
              <w:rPr>
                <w:rFonts w:ascii="Arial" w:hAnsi="Arial"/>
                <w:sz w:val="22"/>
              </w:rPr>
            </w:pPr>
          </w:p>
          <w:p w14:paraId="0F5B1BCE" w14:textId="77777777" w:rsidR="00E23E29" w:rsidRPr="00E23E29" w:rsidRDefault="00E23E29" w:rsidP="00E23E29">
            <w:pPr>
              <w:jc w:val="both"/>
              <w:rPr>
                <w:rFonts w:ascii="Arial" w:hAnsi="Arial" w:cs="Arial"/>
                <w:sz w:val="22"/>
                <w:szCs w:val="22"/>
                <w:lang w:eastAsia="en-US"/>
              </w:rPr>
            </w:pPr>
            <w:r w:rsidRPr="00E23E29">
              <w:rPr>
                <w:rFonts w:ascii="Arial" w:hAnsi="Arial" w:cs="Arial"/>
                <w:sz w:val="22"/>
                <w:szCs w:val="22"/>
                <w:lang w:eastAsia="en-US"/>
              </w:rPr>
              <w:t xml:space="preserve">This option starts with a full design exercise closely co-ordinated with the preparation of the Bills of Quantities and the Tender documents. This can take place in parallel to the Advanced Works as discussed earlier in the report. The Advanced Works will be tendered separately and could potentially start on site in mid-March. The Advanced Works also provide a head start in terms of the quantity/value of works completed and deliver the early start on site. It is hoped the tender review and approvals procedures can be managed </w:t>
            </w:r>
            <w:r w:rsidRPr="00E23E29">
              <w:rPr>
                <w:rFonts w:ascii="Arial" w:hAnsi="Arial" w:cs="Arial"/>
                <w:sz w:val="22"/>
                <w:szCs w:val="22"/>
                <w:lang w:eastAsia="en-US"/>
              </w:rPr>
              <w:lastRenderedPageBreak/>
              <w:t xml:space="preserve">quickly and the successful contractor given as much notice as possible to mobilise during the call-in period. As the design is complete and the Advanced Works have been fed into the design process, the Contractor has the best chance of a sensible, co-ordinated start on site in early August. This leaves a period of 46 weeks remaining until mid-June 2022 (Festival dates not available at this stage). </w:t>
            </w:r>
          </w:p>
          <w:p w14:paraId="151F90D8" w14:textId="77777777" w:rsidR="00E23E29" w:rsidRPr="00E23E29" w:rsidRDefault="00E23E29" w:rsidP="00E23E29">
            <w:pPr>
              <w:rPr>
                <w:rFonts w:ascii="Arial" w:hAnsi="Arial"/>
                <w:sz w:val="22"/>
              </w:rPr>
            </w:pPr>
          </w:p>
          <w:p w14:paraId="3F76D56C" w14:textId="4C7C761E" w:rsidR="00C63651" w:rsidRPr="00C63651" w:rsidRDefault="00C63651" w:rsidP="00C63651">
            <w:pPr>
              <w:rPr>
                <w:rFonts w:ascii="Arial" w:hAnsi="Arial"/>
                <w:sz w:val="22"/>
              </w:rPr>
            </w:pPr>
          </w:p>
        </w:tc>
      </w:tr>
      <w:tr w:rsidR="00AA7B29" w14:paraId="515D3FED" w14:textId="77777777" w:rsidTr="00963141">
        <w:tc>
          <w:tcPr>
            <w:tcW w:w="3227" w:type="dxa"/>
          </w:tcPr>
          <w:p w14:paraId="3FF01C05" w14:textId="77777777" w:rsidR="00AA7B29" w:rsidRDefault="00AA7B29">
            <w:pPr>
              <w:rPr>
                <w:rFonts w:ascii="Arial" w:hAnsi="Arial"/>
                <w:b/>
                <w:sz w:val="22"/>
              </w:rPr>
            </w:pPr>
          </w:p>
        </w:tc>
        <w:tc>
          <w:tcPr>
            <w:tcW w:w="6095" w:type="dxa"/>
            <w:gridSpan w:val="2"/>
          </w:tcPr>
          <w:p w14:paraId="796FCECB" w14:textId="77777777" w:rsidR="00AA7B29" w:rsidRDefault="00AA7B29">
            <w:pPr>
              <w:rPr>
                <w:rFonts w:ascii="Arial" w:hAnsi="Arial"/>
                <w:sz w:val="22"/>
              </w:rPr>
            </w:pPr>
          </w:p>
        </w:tc>
      </w:tr>
      <w:tr w:rsidR="00AA7B29" w14:paraId="37A7EE14" w14:textId="77777777" w:rsidTr="00963141">
        <w:tc>
          <w:tcPr>
            <w:tcW w:w="3227" w:type="dxa"/>
          </w:tcPr>
          <w:p w14:paraId="016A3C72" w14:textId="7A4E65A5" w:rsidR="00AA7B29" w:rsidRDefault="001976A0">
            <w:pPr>
              <w:rPr>
                <w:rFonts w:ascii="Arial" w:hAnsi="Arial"/>
                <w:b/>
                <w:sz w:val="22"/>
              </w:rPr>
            </w:pPr>
            <w:r>
              <w:rPr>
                <w:rFonts w:ascii="Arial" w:hAnsi="Arial"/>
                <w:b/>
                <w:sz w:val="22"/>
              </w:rPr>
              <w:t>Wider Implications:</w:t>
            </w:r>
          </w:p>
          <w:p w14:paraId="639D909E" w14:textId="77777777" w:rsidR="00AA7B29" w:rsidRDefault="00AA7B29">
            <w:pPr>
              <w:rPr>
                <w:rFonts w:ascii="Arial" w:hAnsi="Arial"/>
                <w:b/>
                <w:sz w:val="22"/>
              </w:rPr>
            </w:pPr>
          </w:p>
        </w:tc>
        <w:tc>
          <w:tcPr>
            <w:tcW w:w="6095" w:type="dxa"/>
            <w:gridSpan w:val="2"/>
            <w:tcBorders>
              <w:top w:val="single" w:sz="4" w:space="0" w:color="auto"/>
              <w:left w:val="single" w:sz="4" w:space="0" w:color="auto"/>
              <w:bottom w:val="single" w:sz="4" w:space="0" w:color="auto"/>
              <w:right w:val="single" w:sz="4" w:space="0" w:color="auto"/>
            </w:tcBorders>
          </w:tcPr>
          <w:p w14:paraId="045BD352" w14:textId="09D34B40" w:rsidR="00C06C8E" w:rsidRDefault="00A71E36">
            <w:pPr>
              <w:rPr>
                <w:rFonts w:ascii="Arial" w:hAnsi="Arial"/>
                <w:iCs/>
                <w:sz w:val="22"/>
                <w:u w:val="single"/>
              </w:rPr>
            </w:pPr>
            <w:r w:rsidRPr="00A71E36">
              <w:rPr>
                <w:rFonts w:ascii="Arial" w:hAnsi="Arial"/>
                <w:iCs/>
                <w:sz w:val="22"/>
                <w:u w:val="single"/>
              </w:rPr>
              <w:t>Monitoring Officer Comments</w:t>
            </w:r>
          </w:p>
          <w:p w14:paraId="09FA8A7B" w14:textId="6B9F34F2" w:rsidR="009C4C4B" w:rsidRDefault="009C4C4B">
            <w:pPr>
              <w:rPr>
                <w:rFonts w:ascii="Arial" w:hAnsi="Arial"/>
                <w:iCs/>
                <w:sz w:val="22"/>
                <w:u w:val="single"/>
              </w:rPr>
            </w:pPr>
          </w:p>
          <w:p w14:paraId="7E3FD0D8" w14:textId="2552BC18" w:rsidR="009C4C4B" w:rsidRPr="009C4C4B" w:rsidRDefault="009C4C4B" w:rsidP="009C4C4B">
            <w:pPr>
              <w:rPr>
                <w:rFonts w:ascii="Arial" w:hAnsi="Arial"/>
                <w:sz w:val="22"/>
              </w:rPr>
            </w:pPr>
            <w:r w:rsidRPr="00F261CB">
              <w:rPr>
                <w:rFonts w:ascii="Arial" w:hAnsi="Arial"/>
                <w:iCs/>
                <w:sz w:val="22"/>
              </w:rPr>
              <w:t xml:space="preserve">This is a very comprehensive proposal. </w:t>
            </w:r>
            <w:proofErr w:type="gramStart"/>
            <w:r w:rsidRPr="00F261CB">
              <w:rPr>
                <w:rFonts w:ascii="Arial" w:hAnsi="Arial"/>
                <w:iCs/>
                <w:sz w:val="22"/>
              </w:rPr>
              <w:t>Clearly</w:t>
            </w:r>
            <w:proofErr w:type="gramEnd"/>
            <w:r w:rsidRPr="00F261CB">
              <w:rPr>
                <w:rFonts w:ascii="Arial" w:hAnsi="Arial"/>
                <w:iCs/>
                <w:sz w:val="22"/>
              </w:rPr>
              <w:t xml:space="preserve"> we must ensure that we comply with our Contract Procedure rules throughout. </w:t>
            </w:r>
          </w:p>
          <w:p w14:paraId="55BF24D2" w14:textId="713BF38A" w:rsidR="009C4C4B" w:rsidRPr="00F261CB" w:rsidRDefault="009C4C4B">
            <w:pPr>
              <w:rPr>
                <w:rFonts w:ascii="Arial" w:hAnsi="Arial"/>
                <w:iCs/>
                <w:sz w:val="22"/>
              </w:rPr>
            </w:pPr>
          </w:p>
          <w:p w14:paraId="25C931D8" w14:textId="01075978" w:rsidR="009C4C4B" w:rsidRPr="00F261CB" w:rsidRDefault="009C4C4B">
            <w:pPr>
              <w:rPr>
                <w:rFonts w:ascii="Arial" w:hAnsi="Arial"/>
                <w:iCs/>
                <w:sz w:val="22"/>
              </w:rPr>
            </w:pPr>
            <w:r w:rsidRPr="00F261CB">
              <w:rPr>
                <w:rFonts w:ascii="Arial" w:hAnsi="Arial"/>
                <w:iCs/>
                <w:sz w:val="22"/>
              </w:rPr>
              <w:t>In terms of the appointment of project management and cost consultancy through a waiver this must be obtained via our electronic waiver system and must be obtained prior to any appointment</w:t>
            </w:r>
          </w:p>
          <w:p w14:paraId="4BDDBEC8" w14:textId="77777777" w:rsidR="00A71E36" w:rsidRDefault="00A71E36">
            <w:pPr>
              <w:rPr>
                <w:rFonts w:ascii="Arial" w:hAnsi="Arial"/>
                <w:iCs/>
                <w:sz w:val="22"/>
              </w:rPr>
            </w:pPr>
          </w:p>
          <w:p w14:paraId="5D0F33BF" w14:textId="77777777" w:rsidR="00A71E36" w:rsidRDefault="00A71E36">
            <w:pPr>
              <w:rPr>
                <w:rFonts w:ascii="Arial" w:hAnsi="Arial"/>
                <w:iCs/>
                <w:sz w:val="22"/>
              </w:rPr>
            </w:pPr>
          </w:p>
          <w:p w14:paraId="13ED350F" w14:textId="77777777" w:rsidR="00A71E36" w:rsidRPr="00A71E36" w:rsidRDefault="00A71E36">
            <w:pPr>
              <w:rPr>
                <w:rFonts w:ascii="Arial" w:hAnsi="Arial"/>
                <w:iCs/>
                <w:sz w:val="22"/>
                <w:u w:val="single"/>
              </w:rPr>
            </w:pPr>
            <w:r w:rsidRPr="00A71E36">
              <w:rPr>
                <w:rFonts w:ascii="Arial" w:hAnsi="Arial"/>
                <w:iCs/>
                <w:sz w:val="22"/>
                <w:u w:val="single"/>
              </w:rPr>
              <w:t xml:space="preserve">Section 151 Officer Comments </w:t>
            </w:r>
          </w:p>
          <w:p w14:paraId="7956EC58" w14:textId="346BA17C" w:rsidR="00A71E36" w:rsidRDefault="00DA2B94">
            <w:pPr>
              <w:rPr>
                <w:rFonts w:ascii="Arial" w:hAnsi="Arial"/>
                <w:iCs/>
                <w:sz w:val="22"/>
              </w:rPr>
            </w:pPr>
            <w:r>
              <w:rPr>
                <w:rFonts w:ascii="Arial" w:hAnsi="Arial"/>
                <w:iCs/>
                <w:sz w:val="22"/>
              </w:rPr>
              <w:t>The costs of the procurements and waivers will be charged against the £2.170m</w:t>
            </w:r>
            <w:r w:rsidR="00EA5F1E">
              <w:rPr>
                <w:rFonts w:ascii="Arial" w:hAnsi="Arial"/>
                <w:iCs/>
                <w:sz w:val="22"/>
              </w:rPr>
              <w:t xml:space="preserve"> budget included in the capital programme.</w:t>
            </w:r>
          </w:p>
          <w:p w14:paraId="586F30FB" w14:textId="77777777" w:rsidR="00A71E36" w:rsidRDefault="00A71E36">
            <w:pPr>
              <w:rPr>
                <w:rFonts w:ascii="Arial" w:hAnsi="Arial"/>
                <w:iCs/>
                <w:sz w:val="22"/>
              </w:rPr>
            </w:pPr>
          </w:p>
          <w:p w14:paraId="123934B6" w14:textId="16B5D313" w:rsidR="00A71E36" w:rsidRPr="00C06C8E" w:rsidRDefault="00A71E36">
            <w:pPr>
              <w:rPr>
                <w:rFonts w:ascii="Arial" w:hAnsi="Arial"/>
                <w:i/>
                <w:sz w:val="22"/>
              </w:rPr>
            </w:pPr>
          </w:p>
        </w:tc>
      </w:tr>
      <w:tr w:rsidR="00AA7B29" w14:paraId="2B703C2E" w14:textId="77777777" w:rsidTr="00963141">
        <w:tc>
          <w:tcPr>
            <w:tcW w:w="3227" w:type="dxa"/>
          </w:tcPr>
          <w:p w14:paraId="40654570" w14:textId="77777777" w:rsidR="00AA7B29" w:rsidRDefault="00AA7B29">
            <w:pPr>
              <w:rPr>
                <w:rFonts w:ascii="Arial" w:hAnsi="Arial"/>
                <w:b/>
                <w:sz w:val="22"/>
              </w:rPr>
            </w:pPr>
          </w:p>
        </w:tc>
        <w:tc>
          <w:tcPr>
            <w:tcW w:w="6095" w:type="dxa"/>
            <w:gridSpan w:val="2"/>
          </w:tcPr>
          <w:p w14:paraId="0825C12B" w14:textId="77777777" w:rsidR="00AA7B29" w:rsidRDefault="00AA7B29">
            <w:pPr>
              <w:rPr>
                <w:rFonts w:ascii="Arial" w:hAnsi="Arial"/>
                <w:sz w:val="22"/>
              </w:rPr>
            </w:pPr>
          </w:p>
        </w:tc>
      </w:tr>
      <w:tr w:rsidR="00AA7B29" w14:paraId="05104E13" w14:textId="77777777" w:rsidTr="00963141">
        <w:tc>
          <w:tcPr>
            <w:tcW w:w="3227" w:type="dxa"/>
          </w:tcPr>
          <w:p w14:paraId="0BC174F9" w14:textId="77777777" w:rsidR="00AA7B29" w:rsidRDefault="001976A0">
            <w:pPr>
              <w:rPr>
                <w:rFonts w:ascii="Arial" w:hAnsi="Arial"/>
                <w:b/>
                <w:sz w:val="22"/>
              </w:rPr>
            </w:pPr>
            <w:r>
              <w:rPr>
                <w:rFonts w:ascii="Arial" w:hAnsi="Arial"/>
                <w:b/>
                <w:sz w:val="22"/>
              </w:rPr>
              <w:t>Report attached?</w:t>
            </w:r>
          </w:p>
        </w:tc>
        <w:tc>
          <w:tcPr>
            <w:tcW w:w="6095" w:type="dxa"/>
            <w:gridSpan w:val="2"/>
            <w:tcBorders>
              <w:top w:val="single" w:sz="4" w:space="0" w:color="auto"/>
              <w:left w:val="single" w:sz="4" w:space="0" w:color="auto"/>
              <w:bottom w:val="single" w:sz="4" w:space="0" w:color="auto"/>
              <w:right w:val="single" w:sz="4" w:space="0" w:color="auto"/>
            </w:tcBorders>
          </w:tcPr>
          <w:p w14:paraId="17B13A25" w14:textId="2089D622" w:rsidR="00AA7B29" w:rsidRDefault="001976A0">
            <w:pPr>
              <w:rPr>
                <w:rFonts w:ascii="Arial" w:hAnsi="Arial"/>
                <w:sz w:val="22"/>
              </w:rPr>
            </w:pPr>
            <w:r>
              <w:rPr>
                <w:rFonts w:ascii="Arial" w:hAnsi="Arial"/>
                <w:sz w:val="22"/>
              </w:rPr>
              <w:t>Ye</w:t>
            </w:r>
            <w:r w:rsidR="00F77F32">
              <w:rPr>
                <w:rFonts w:ascii="Arial" w:hAnsi="Arial"/>
                <w:sz w:val="22"/>
              </w:rPr>
              <w:t>s</w:t>
            </w:r>
          </w:p>
        </w:tc>
      </w:tr>
      <w:tr w:rsidR="00AA7B29" w14:paraId="6713807C" w14:textId="77777777" w:rsidTr="00963141">
        <w:tc>
          <w:tcPr>
            <w:tcW w:w="3227" w:type="dxa"/>
          </w:tcPr>
          <w:p w14:paraId="5D8FDDF5" w14:textId="77777777" w:rsidR="00AA7B29" w:rsidRDefault="001976A0">
            <w:pPr>
              <w:rPr>
                <w:rFonts w:ascii="Arial" w:hAnsi="Arial"/>
                <w:b/>
                <w:sz w:val="22"/>
              </w:rPr>
            </w:pPr>
            <w:r>
              <w:rPr>
                <w:rFonts w:ascii="Arial" w:hAnsi="Arial"/>
                <w:b/>
                <w:sz w:val="22"/>
              </w:rPr>
              <w:t>Exempt from publication?</w:t>
            </w:r>
          </w:p>
        </w:tc>
        <w:tc>
          <w:tcPr>
            <w:tcW w:w="6095" w:type="dxa"/>
            <w:gridSpan w:val="2"/>
            <w:tcBorders>
              <w:top w:val="single" w:sz="4" w:space="0" w:color="auto"/>
              <w:left w:val="single" w:sz="4" w:space="0" w:color="auto"/>
              <w:bottom w:val="single" w:sz="4" w:space="0" w:color="auto"/>
              <w:right w:val="single" w:sz="4" w:space="0" w:color="auto"/>
            </w:tcBorders>
          </w:tcPr>
          <w:p w14:paraId="7342DC8A" w14:textId="19B68732" w:rsidR="00AA7B29" w:rsidRDefault="00F77F32">
            <w:pPr>
              <w:rPr>
                <w:rFonts w:ascii="Arial" w:hAnsi="Arial"/>
                <w:sz w:val="22"/>
              </w:rPr>
            </w:pPr>
            <w:r>
              <w:rPr>
                <w:rFonts w:ascii="Arial" w:hAnsi="Arial"/>
                <w:sz w:val="22"/>
              </w:rPr>
              <w:t>No</w:t>
            </w:r>
          </w:p>
        </w:tc>
      </w:tr>
      <w:tr w:rsidR="00AA7B29" w14:paraId="444E364A" w14:textId="77777777" w:rsidTr="00963141">
        <w:tc>
          <w:tcPr>
            <w:tcW w:w="3227" w:type="dxa"/>
          </w:tcPr>
          <w:p w14:paraId="51B92D41" w14:textId="4C8A04BD" w:rsidR="00AA7B29" w:rsidRDefault="001976A0">
            <w:pPr>
              <w:rPr>
                <w:rFonts w:ascii="Arial" w:hAnsi="Arial"/>
                <w:b/>
                <w:sz w:val="22"/>
              </w:rPr>
            </w:pPr>
            <w:r>
              <w:rPr>
                <w:rFonts w:ascii="Arial" w:hAnsi="Arial"/>
                <w:b/>
                <w:sz w:val="22"/>
              </w:rPr>
              <w:t>If exempt, give reason(s):</w:t>
            </w:r>
          </w:p>
        </w:tc>
        <w:tc>
          <w:tcPr>
            <w:tcW w:w="6095" w:type="dxa"/>
            <w:gridSpan w:val="2"/>
            <w:tcBorders>
              <w:top w:val="single" w:sz="4" w:space="0" w:color="auto"/>
              <w:left w:val="single" w:sz="4" w:space="0" w:color="auto"/>
              <w:bottom w:val="single" w:sz="4" w:space="0" w:color="auto"/>
              <w:right w:val="single" w:sz="4" w:space="0" w:color="auto"/>
            </w:tcBorders>
          </w:tcPr>
          <w:p w14:paraId="0D6FD160" w14:textId="77777777" w:rsidR="00AA7B29" w:rsidRDefault="00AA7B29">
            <w:pPr>
              <w:rPr>
                <w:rFonts w:ascii="Arial" w:hAnsi="Arial"/>
                <w:i/>
                <w:sz w:val="22"/>
              </w:rPr>
            </w:pPr>
          </w:p>
          <w:p w14:paraId="480A0AD4" w14:textId="65E49688" w:rsidR="00F0286F" w:rsidRPr="00F927B3" w:rsidRDefault="00F0286F">
            <w:pPr>
              <w:rPr>
                <w:rFonts w:ascii="Arial" w:hAnsi="Arial"/>
                <w:i/>
                <w:sz w:val="22"/>
              </w:rPr>
            </w:pPr>
          </w:p>
        </w:tc>
      </w:tr>
      <w:tr w:rsidR="00A71E36" w14:paraId="35D86B4A" w14:textId="77777777" w:rsidTr="007564F2">
        <w:tc>
          <w:tcPr>
            <w:tcW w:w="9322" w:type="dxa"/>
            <w:gridSpan w:val="3"/>
          </w:tcPr>
          <w:p w14:paraId="633AB8CE" w14:textId="77777777" w:rsidR="00A71E36" w:rsidRDefault="00A71E36">
            <w:pPr>
              <w:rPr>
                <w:rFonts w:ascii="Arial" w:hAnsi="Arial"/>
                <w:b/>
                <w:sz w:val="22"/>
              </w:rPr>
            </w:pPr>
          </w:p>
          <w:p w14:paraId="5ED091DF" w14:textId="77777777" w:rsidR="00A71E36" w:rsidRDefault="00A71E36">
            <w:pPr>
              <w:rPr>
                <w:rFonts w:ascii="Arial" w:hAnsi="Arial"/>
                <w:b/>
                <w:sz w:val="22"/>
              </w:rPr>
            </w:pPr>
          </w:p>
          <w:p w14:paraId="02790C74" w14:textId="77777777" w:rsidR="00A71E36" w:rsidRDefault="00A71E36">
            <w:pPr>
              <w:rPr>
                <w:rFonts w:ascii="Arial" w:hAnsi="Arial"/>
                <w:b/>
                <w:sz w:val="22"/>
              </w:rPr>
            </w:pPr>
          </w:p>
          <w:p w14:paraId="00FD93EC" w14:textId="77777777" w:rsidR="00A71E36" w:rsidRDefault="00A71E36">
            <w:pPr>
              <w:rPr>
                <w:rFonts w:ascii="Arial" w:hAnsi="Arial"/>
                <w:b/>
                <w:sz w:val="22"/>
              </w:rPr>
            </w:pPr>
            <w:r>
              <w:rPr>
                <w:rFonts w:ascii="Arial" w:hAnsi="Arial"/>
                <w:b/>
                <w:sz w:val="22"/>
              </w:rPr>
              <w:t xml:space="preserve">Approval of Executive Cabinet Member </w:t>
            </w:r>
          </w:p>
          <w:p w14:paraId="47A221F0" w14:textId="77777777" w:rsidR="00A71E36" w:rsidRDefault="00A71E36">
            <w:pPr>
              <w:rPr>
                <w:rFonts w:ascii="Arial" w:hAnsi="Arial"/>
                <w:b/>
                <w:sz w:val="22"/>
              </w:rPr>
            </w:pPr>
          </w:p>
          <w:p w14:paraId="2AC3D53E" w14:textId="1B2077D7" w:rsidR="00A71E36" w:rsidRDefault="00A71E36">
            <w:pPr>
              <w:rPr>
                <w:rFonts w:ascii="Arial" w:hAnsi="Arial"/>
                <w:sz w:val="22"/>
              </w:rPr>
            </w:pPr>
          </w:p>
        </w:tc>
      </w:tr>
      <w:tr w:rsidR="00963141" w14:paraId="527720BF" w14:textId="77777777" w:rsidTr="00016EF0">
        <w:tc>
          <w:tcPr>
            <w:tcW w:w="9322" w:type="dxa"/>
            <w:gridSpan w:val="3"/>
          </w:tcPr>
          <w:p w14:paraId="3A7356FE" w14:textId="77777777" w:rsidR="00963141" w:rsidRPr="00963141" w:rsidRDefault="00963141" w:rsidP="00963141">
            <w:pPr>
              <w:rPr>
                <w:rFonts w:ascii="Arial" w:hAnsi="Arial"/>
                <w:sz w:val="22"/>
              </w:rPr>
            </w:pPr>
            <w:r w:rsidRPr="00963141">
              <w:rPr>
                <w:rFonts w:ascii="Arial" w:hAnsi="Arial"/>
                <w:sz w:val="22"/>
              </w:rPr>
              <w:t>Following careful consideration and assessment of the contents of this report, I approve the</w:t>
            </w:r>
          </w:p>
          <w:p w14:paraId="1925994F" w14:textId="608C8C69" w:rsidR="00963141" w:rsidRDefault="00963141" w:rsidP="00963141">
            <w:pPr>
              <w:rPr>
                <w:rFonts w:ascii="Arial" w:hAnsi="Arial"/>
                <w:sz w:val="22"/>
              </w:rPr>
            </w:pPr>
            <w:r w:rsidRPr="00963141">
              <w:rPr>
                <w:rFonts w:ascii="Arial" w:hAnsi="Arial"/>
                <w:sz w:val="22"/>
              </w:rPr>
              <w:t>recommendation(s) contained in accordance with my delegated power</w:t>
            </w:r>
            <w:r>
              <w:rPr>
                <w:rFonts w:ascii="Arial" w:hAnsi="Arial"/>
                <w:sz w:val="22"/>
              </w:rPr>
              <w:t xml:space="preserve"> </w:t>
            </w:r>
            <w:r w:rsidRPr="00963141">
              <w:rPr>
                <w:rFonts w:ascii="Arial" w:hAnsi="Arial"/>
                <w:sz w:val="22"/>
              </w:rPr>
              <w:t>to make executive decisions.</w:t>
            </w:r>
            <w:bookmarkStart w:id="0" w:name="_GoBack"/>
            <w:bookmarkEnd w:id="0"/>
          </w:p>
        </w:tc>
      </w:tr>
      <w:tr w:rsidR="00963141" w14:paraId="7FB9B766" w14:textId="77777777" w:rsidTr="00963141">
        <w:tc>
          <w:tcPr>
            <w:tcW w:w="3227" w:type="dxa"/>
          </w:tcPr>
          <w:p w14:paraId="589F5FB3" w14:textId="77777777" w:rsidR="00963141" w:rsidRDefault="00963141">
            <w:pPr>
              <w:rPr>
                <w:rFonts w:ascii="Arial" w:hAnsi="Arial"/>
                <w:b/>
                <w:sz w:val="22"/>
              </w:rPr>
            </w:pPr>
          </w:p>
        </w:tc>
        <w:tc>
          <w:tcPr>
            <w:tcW w:w="6095" w:type="dxa"/>
            <w:gridSpan w:val="2"/>
          </w:tcPr>
          <w:p w14:paraId="75274CC9" w14:textId="77777777" w:rsidR="00963141" w:rsidRDefault="00963141">
            <w:pPr>
              <w:rPr>
                <w:rFonts w:ascii="Arial" w:hAnsi="Arial"/>
                <w:sz w:val="22"/>
              </w:rPr>
            </w:pPr>
          </w:p>
        </w:tc>
      </w:tr>
      <w:tr w:rsidR="00963141" w14:paraId="5B50C7A6" w14:textId="77777777" w:rsidTr="00963141">
        <w:tc>
          <w:tcPr>
            <w:tcW w:w="3227" w:type="dxa"/>
          </w:tcPr>
          <w:p w14:paraId="380CA65C" w14:textId="77777777" w:rsidR="00963141" w:rsidRDefault="00963141">
            <w:pPr>
              <w:rPr>
                <w:rFonts w:ascii="Arial" w:hAnsi="Arial"/>
                <w:b/>
                <w:sz w:val="22"/>
              </w:rPr>
            </w:pPr>
          </w:p>
          <w:p w14:paraId="72D6FACD" w14:textId="150097D6" w:rsidR="00963141" w:rsidRDefault="00963141">
            <w:pPr>
              <w:rPr>
                <w:rFonts w:ascii="Arial" w:hAnsi="Arial"/>
                <w:b/>
                <w:sz w:val="22"/>
              </w:rPr>
            </w:pPr>
            <w:r>
              <w:rPr>
                <w:rFonts w:ascii="Arial" w:hAnsi="Arial"/>
                <w:b/>
                <w:sz w:val="22"/>
              </w:rPr>
              <w:t>Signed:</w:t>
            </w:r>
          </w:p>
        </w:tc>
        <w:tc>
          <w:tcPr>
            <w:tcW w:w="6095" w:type="dxa"/>
            <w:gridSpan w:val="2"/>
            <w:tcBorders>
              <w:bottom w:val="single" w:sz="4" w:space="0" w:color="auto"/>
            </w:tcBorders>
          </w:tcPr>
          <w:p w14:paraId="3C60740C" w14:textId="3B5C6F5A" w:rsidR="00963141" w:rsidRPr="00C744AB" w:rsidRDefault="00C744AB">
            <w:pPr>
              <w:rPr>
                <w:rFonts w:ascii="Arial" w:hAnsi="Arial"/>
                <w:i/>
                <w:sz w:val="22"/>
              </w:rPr>
            </w:pPr>
            <w:r w:rsidRPr="00C744AB">
              <w:rPr>
                <w:rFonts w:ascii="Arial" w:hAnsi="Arial"/>
                <w:i/>
                <w:sz w:val="22"/>
              </w:rPr>
              <w:t>Councillor M Tomlinson (signed electronically)</w:t>
            </w:r>
          </w:p>
        </w:tc>
      </w:tr>
      <w:tr w:rsidR="00963141" w14:paraId="6F5156E3" w14:textId="77777777" w:rsidTr="00963141">
        <w:tc>
          <w:tcPr>
            <w:tcW w:w="3227" w:type="dxa"/>
          </w:tcPr>
          <w:p w14:paraId="1C11C358" w14:textId="77777777" w:rsidR="00963141" w:rsidRDefault="00963141">
            <w:pPr>
              <w:rPr>
                <w:rFonts w:ascii="Arial" w:hAnsi="Arial"/>
                <w:b/>
                <w:sz w:val="22"/>
              </w:rPr>
            </w:pPr>
          </w:p>
        </w:tc>
        <w:tc>
          <w:tcPr>
            <w:tcW w:w="6095" w:type="dxa"/>
            <w:gridSpan w:val="2"/>
            <w:tcBorders>
              <w:top w:val="single" w:sz="4" w:space="0" w:color="auto"/>
            </w:tcBorders>
          </w:tcPr>
          <w:p w14:paraId="18A5047D" w14:textId="36110554" w:rsidR="00E421A9" w:rsidRDefault="00971B2F">
            <w:pPr>
              <w:rPr>
                <w:rFonts w:ascii="Arial" w:hAnsi="Arial"/>
                <w:sz w:val="22"/>
              </w:rPr>
            </w:pPr>
            <w:r>
              <w:rPr>
                <w:rFonts w:ascii="Arial" w:hAnsi="Arial"/>
                <w:sz w:val="22"/>
              </w:rPr>
              <w:t xml:space="preserve">Councillor </w:t>
            </w:r>
            <w:r w:rsidR="00E421A9">
              <w:rPr>
                <w:rFonts w:ascii="Arial" w:hAnsi="Arial"/>
                <w:sz w:val="22"/>
              </w:rPr>
              <w:t>Matthew Tomlinson</w:t>
            </w:r>
          </w:p>
          <w:p w14:paraId="1E6CA2E6" w14:textId="472B99FE" w:rsidR="00971B2F" w:rsidRDefault="00971B2F">
            <w:pPr>
              <w:rPr>
                <w:rFonts w:ascii="Arial" w:hAnsi="Arial"/>
                <w:sz w:val="22"/>
              </w:rPr>
            </w:pPr>
            <w:r>
              <w:rPr>
                <w:rFonts w:ascii="Arial" w:hAnsi="Arial"/>
                <w:sz w:val="22"/>
              </w:rPr>
              <w:t xml:space="preserve">Cabinet Member for </w:t>
            </w:r>
            <w:r w:rsidR="00E421A9">
              <w:rPr>
                <w:rFonts w:ascii="Arial" w:hAnsi="Arial"/>
                <w:sz w:val="22"/>
              </w:rPr>
              <w:t>Finance, Property and Assets</w:t>
            </w:r>
          </w:p>
          <w:p w14:paraId="71EBCAB5" w14:textId="77777777" w:rsidR="00971B2F" w:rsidRDefault="00971B2F">
            <w:pPr>
              <w:rPr>
                <w:rFonts w:ascii="Arial" w:hAnsi="Arial"/>
                <w:sz w:val="22"/>
              </w:rPr>
            </w:pPr>
          </w:p>
          <w:p w14:paraId="707FBBB7" w14:textId="7E6AE77E" w:rsidR="00971B2F" w:rsidRDefault="00971B2F">
            <w:pPr>
              <w:rPr>
                <w:rFonts w:ascii="Arial" w:hAnsi="Arial"/>
                <w:sz w:val="22"/>
              </w:rPr>
            </w:pPr>
          </w:p>
        </w:tc>
      </w:tr>
      <w:tr w:rsidR="00963141" w14:paraId="2A9ABBA5" w14:textId="77777777" w:rsidTr="00963141">
        <w:tc>
          <w:tcPr>
            <w:tcW w:w="3227" w:type="dxa"/>
          </w:tcPr>
          <w:p w14:paraId="40D9AF5F" w14:textId="7E2647C5" w:rsidR="00963141" w:rsidRDefault="00963141">
            <w:pPr>
              <w:rPr>
                <w:rFonts w:ascii="Arial" w:hAnsi="Arial"/>
                <w:b/>
                <w:sz w:val="22"/>
              </w:rPr>
            </w:pPr>
            <w:r>
              <w:rPr>
                <w:rFonts w:ascii="Arial" w:hAnsi="Arial"/>
                <w:b/>
                <w:sz w:val="22"/>
              </w:rPr>
              <w:t>Date:</w:t>
            </w:r>
          </w:p>
        </w:tc>
        <w:tc>
          <w:tcPr>
            <w:tcW w:w="6095" w:type="dxa"/>
            <w:gridSpan w:val="2"/>
            <w:tcBorders>
              <w:bottom w:val="single" w:sz="4" w:space="0" w:color="auto"/>
            </w:tcBorders>
          </w:tcPr>
          <w:p w14:paraId="7A29A48D" w14:textId="7523405F" w:rsidR="00963141" w:rsidRDefault="00E421A9" w:rsidP="00963141">
            <w:pPr>
              <w:tabs>
                <w:tab w:val="left" w:pos="990"/>
              </w:tabs>
              <w:rPr>
                <w:rFonts w:ascii="Arial" w:hAnsi="Arial"/>
                <w:sz w:val="22"/>
              </w:rPr>
            </w:pPr>
            <w:r>
              <w:rPr>
                <w:rFonts w:ascii="Arial" w:hAnsi="Arial"/>
                <w:sz w:val="22"/>
              </w:rPr>
              <w:t xml:space="preserve">6 January 2021 </w:t>
            </w:r>
            <w:r w:rsidR="00963141">
              <w:rPr>
                <w:rFonts w:ascii="Arial" w:hAnsi="Arial"/>
                <w:sz w:val="22"/>
              </w:rPr>
              <w:tab/>
            </w:r>
          </w:p>
        </w:tc>
      </w:tr>
      <w:tr w:rsidR="00963141" w14:paraId="2518766B" w14:textId="77777777" w:rsidTr="00963141">
        <w:tc>
          <w:tcPr>
            <w:tcW w:w="3227" w:type="dxa"/>
          </w:tcPr>
          <w:p w14:paraId="13677AD0" w14:textId="77777777" w:rsidR="00963141" w:rsidRDefault="00963141">
            <w:pPr>
              <w:rPr>
                <w:rFonts w:ascii="Arial" w:hAnsi="Arial"/>
                <w:b/>
                <w:sz w:val="22"/>
              </w:rPr>
            </w:pPr>
          </w:p>
        </w:tc>
        <w:tc>
          <w:tcPr>
            <w:tcW w:w="6095" w:type="dxa"/>
            <w:gridSpan w:val="2"/>
            <w:tcBorders>
              <w:top w:val="single" w:sz="4" w:space="0" w:color="auto"/>
            </w:tcBorders>
          </w:tcPr>
          <w:p w14:paraId="03DF359D" w14:textId="77777777" w:rsidR="00963141" w:rsidRDefault="00963141">
            <w:pPr>
              <w:rPr>
                <w:rFonts w:ascii="Arial" w:hAnsi="Arial"/>
                <w:sz w:val="22"/>
              </w:rPr>
            </w:pPr>
          </w:p>
        </w:tc>
      </w:tr>
      <w:tr w:rsidR="00963141" w14:paraId="351C2DA7" w14:textId="77777777" w:rsidTr="00963141">
        <w:tc>
          <w:tcPr>
            <w:tcW w:w="3227" w:type="dxa"/>
          </w:tcPr>
          <w:p w14:paraId="33E536B7" w14:textId="77777777" w:rsidR="00963141" w:rsidRDefault="00963141">
            <w:pPr>
              <w:rPr>
                <w:rFonts w:ascii="Arial" w:hAnsi="Arial"/>
                <w:b/>
                <w:sz w:val="22"/>
              </w:rPr>
            </w:pPr>
          </w:p>
        </w:tc>
        <w:tc>
          <w:tcPr>
            <w:tcW w:w="6095" w:type="dxa"/>
            <w:gridSpan w:val="2"/>
          </w:tcPr>
          <w:p w14:paraId="7B70E55D" w14:textId="77777777" w:rsidR="00963141" w:rsidRDefault="00963141">
            <w:pPr>
              <w:rPr>
                <w:rFonts w:ascii="Arial" w:hAnsi="Arial"/>
                <w:sz w:val="22"/>
              </w:rPr>
            </w:pPr>
          </w:p>
        </w:tc>
      </w:tr>
      <w:tr w:rsidR="00AA7B29" w14:paraId="3408746E" w14:textId="77777777" w:rsidTr="00963141">
        <w:tc>
          <w:tcPr>
            <w:tcW w:w="3227" w:type="dxa"/>
          </w:tcPr>
          <w:p w14:paraId="326BFE5B" w14:textId="77777777" w:rsidR="00AA7B29" w:rsidRDefault="00AA7B29">
            <w:pPr>
              <w:rPr>
                <w:rFonts w:ascii="Arial" w:hAnsi="Arial"/>
                <w:b/>
                <w:sz w:val="22"/>
              </w:rPr>
            </w:pPr>
          </w:p>
        </w:tc>
        <w:tc>
          <w:tcPr>
            <w:tcW w:w="6095" w:type="dxa"/>
            <w:gridSpan w:val="2"/>
            <w:tcBorders>
              <w:bottom w:val="single" w:sz="4" w:space="0" w:color="auto"/>
            </w:tcBorders>
          </w:tcPr>
          <w:p w14:paraId="7409B8EE" w14:textId="77777777" w:rsidR="00AA7B29" w:rsidRDefault="00AA7B29">
            <w:pPr>
              <w:rPr>
                <w:rFonts w:ascii="Arial" w:hAnsi="Arial"/>
                <w:sz w:val="22"/>
              </w:rPr>
            </w:pPr>
          </w:p>
        </w:tc>
      </w:tr>
      <w:tr w:rsidR="00AA7B29" w14:paraId="3A05D9A8" w14:textId="77777777" w:rsidTr="00963141">
        <w:tc>
          <w:tcPr>
            <w:tcW w:w="3227" w:type="dxa"/>
          </w:tcPr>
          <w:p w14:paraId="43675E14" w14:textId="77777777" w:rsidR="00AA7B29" w:rsidRDefault="001976A0">
            <w:pPr>
              <w:rPr>
                <w:rFonts w:ascii="Arial" w:hAnsi="Arial"/>
                <w:b/>
                <w:sz w:val="22"/>
              </w:rPr>
            </w:pPr>
            <w:r>
              <w:rPr>
                <w:rFonts w:ascii="Arial" w:hAnsi="Arial"/>
                <w:b/>
                <w:sz w:val="22"/>
              </w:rPr>
              <w:t>Publication Date (DST use):</w:t>
            </w:r>
          </w:p>
          <w:p w14:paraId="6F90EEFE" w14:textId="77777777" w:rsidR="00AA7B29" w:rsidRDefault="00AA7B29">
            <w:pPr>
              <w:rPr>
                <w:rFonts w:ascii="Arial" w:hAnsi="Arial"/>
                <w:b/>
                <w:sz w:val="22"/>
              </w:rPr>
            </w:pPr>
          </w:p>
        </w:tc>
        <w:tc>
          <w:tcPr>
            <w:tcW w:w="6095" w:type="dxa"/>
            <w:gridSpan w:val="2"/>
            <w:tcBorders>
              <w:top w:val="single" w:sz="4" w:space="0" w:color="auto"/>
              <w:left w:val="single" w:sz="4" w:space="0" w:color="auto"/>
              <w:bottom w:val="single" w:sz="4" w:space="0" w:color="auto"/>
              <w:right w:val="single" w:sz="4" w:space="0" w:color="auto"/>
            </w:tcBorders>
          </w:tcPr>
          <w:p w14:paraId="262D7C4A" w14:textId="77777777" w:rsidR="00AA7B29" w:rsidRDefault="00AA7B29">
            <w:pPr>
              <w:rPr>
                <w:rFonts w:ascii="Arial" w:hAnsi="Arial"/>
                <w:sz w:val="22"/>
              </w:rPr>
            </w:pPr>
          </w:p>
        </w:tc>
      </w:tr>
    </w:tbl>
    <w:p w14:paraId="0D7BD368" w14:textId="77777777" w:rsidR="00AA7B29" w:rsidRDefault="001976A0">
      <w:pPr>
        <w:pStyle w:val="BodyText"/>
        <w:jc w:val="right"/>
        <w:rPr>
          <w:rFonts w:ascii="Arial" w:hAnsi="Arial"/>
          <w:b w:val="0"/>
          <w:sz w:val="8"/>
        </w:rPr>
      </w:pPr>
      <w:r>
        <w:rPr>
          <w:rFonts w:ascii="Arial" w:hAnsi="Arial"/>
          <w:b w:val="0"/>
          <w:sz w:val="8"/>
        </w:rPr>
        <w:t xml:space="preserve">Decision template revised </w:t>
      </w:r>
      <w:r w:rsidR="00F927B3">
        <w:rPr>
          <w:rFonts w:ascii="Arial" w:hAnsi="Arial"/>
          <w:b w:val="0"/>
          <w:sz w:val="8"/>
        </w:rPr>
        <w:t>Oct 2020</w:t>
      </w:r>
    </w:p>
    <w:p w14:paraId="6269FA4C" w14:textId="77777777" w:rsidR="001976A0" w:rsidRDefault="001976A0">
      <w:pPr>
        <w:pStyle w:val="BodyText"/>
        <w:rPr>
          <w:rFonts w:ascii="Arial" w:hAnsi="Arial"/>
        </w:rPr>
      </w:pPr>
      <w:r>
        <w:rPr>
          <w:rFonts w:ascii="Arial" w:hAnsi="Arial"/>
        </w:rPr>
        <w:t>THIS DECISION WILL COME INTO FORCE AND MAY BE IMPLEMENTED FIVE WORKING DAYS AFTER ITS PUBLICATION DATE, SUBJECT TO BEING CALLED IN IN ACCORDANCE WITH THE COUNCIL’S CONSTITUTION</w:t>
      </w:r>
    </w:p>
    <w:sectPr w:rsidR="001976A0">
      <w:pgSz w:w="11906" w:h="16838"/>
      <w:pgMar w:top="851"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73F42"/>
    <w:multiLevelType w:val="hybridMultilevel"/>
    <w:tmpl w:val="2D12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B2471"/>
    <w:multiLevelType w:val="hybridMultilevel"/>
    <w:tmpl w:val="5236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6392B"/>
    <w:multiLevelType w:val="hybridMultilevel"/>
    <w:tmpl w:val="DBDAB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A0"/>
    <w:rsid w:val="00022C0F"/>
    <w:rsid w:val="000E31C0"/>
    <w:rsid w:val="000F2763"/>
    <w:rsid w:val="001976A0"/>
    <w:rsid w:val="001B4864"/>
    <w:rsid w:val="001E08C5"/>
    <w:rsid w:val="002E4BAF"/>
    <w:rsid w:val="003E075B"/>
    <w:rsid w:val="004C04AD"/>
    <w:rsid w:val="004F285F"/>
    <w:rsid w:val="00503D75"/>
    <w:rsid w:val="0056091D"/>
    <w:rsid w:val="005646FF"/>
    <w:rsid w:val="005F33B7"/>
    <w:rsid w:val="00727EB8"/>
    <w:rsid w:val="007960FF"/>
    <w:rsid w:val="007D087A"/>
    <w:rsid w:val="00916974"/>
    <w:rsid w:val="00930FC1"/>
    <w:rsid w:val="00963141"/>
    <w:rsid w:val="00965E3B"/>
    <w:rsid w:val="00971B2F"/>
    <w:rsid w:val="009A1E0E"/>
    <w:rsid w:val="009C4C4B"/>
    <w:rsid w:val="00A178D4"/>
    <w:rsid w:val="00A71E36"/>
    <w:rsid w:val="00AA7B29"/>
    <w:rsid w:val="00B23158"/>
    <w:rsid w:val="00BF07FF"/>
    <w:rsid w:val="00C06C8E"/>
    <w:rsid w:val="00C63651"/>
    <w:rsid w:val="00C744AB"/>
    <w:rsid w:val="00CA63BB"/>
    <w:rsid w:val="00D8517C"/>
    <w:rsid w:val="00DA2B94"/>
    <w:rsid w:val="00DB3623"/>
    <w:rsid w:val="00E16B6C"/>
    <w:rsid w:val="00E23E29"/>
    <w:rsid w:val="00E421A9"/>
    <w:rsid w:val="00EA5F1E"/>
    <w:rsid w:val="00F0286F"/>
    <w:rsid w:val="00F261CB"/>
    <w:rsid w:val="00F77F32"/>
    <w:rsid w:val="00F927B3"/>
    <w:rsid w:val="00FE3FA7"/>
    <w:rsid w:val="00FF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7B364"/>
  <w15:docId w15:val="{50812109-E320-40B7-94CB-00844203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rPr>
  </w:style>
  <w:style w:type="paragraph" w:styleId="BodyText2">
    <w:name w:val="Body Text 2"/>
    <w:basedOn w:val="Normal"/>
    <w:semiHidden/>
    <w:pPr>
      <w:jc w:val="center"/>
    </w:pPr>
    <w:rPr>
      <w:rFonts w:ascii="Arial" w:hAnsi="Arial"/>
      <w:b/>
      <w:sz w:val="22"/>
      <w:u w:val="single"/>
    </w:rPr>
  </w:style>
  <w:style w:type="paragraph" w:styleId="BalloonText">
    <w:name w:val="Balloon Text"/>
    <w:basedOn w:val="Normal"/>
    <w:link w:val="BalloonTextChar"/>
    <w:uiPriority w:val="99"/>
    <w:semiHidden/>
    <w:unhideWhenUsed/>
    <w:rsid w:val="00963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41"/>
    <w:rPr>
      <w:rFonts w:ascii="Segoe UI" w:hAnsi="Segoe UI" w:cs="Segoe UI"/>
      <w:sz w:val="18"/>
      <w:szCs w:val="18"/>
    </w:rPr>
  </w:style>
  <w:style w:type="paragraph" w:styleId="ListParagraph">
    <w:name w:val="List Paragraph"/>
    <w:basedOn w:val="Normal"/>
    <w:uiPriority w:val="34"/>
    <w:qFormat/>
    <w:rsid w:val="00C63651"/>
    <w:pPr>
      <w:ind w:left="720"/>
      <w:contextualSpacing/>
    </w:pPr>
  </w:style>
  <w:style w:type="character" w:customStyle="1" w:styleId="NoSpacingChar">
    <w:name w:val="No Spacing Char"/>
    <w:basedOn w:val="DefaultParagraphFont"/>
    <w:link w:val="NoSpacing"/>
    <w:uiPriority w:val="1"/>
    <w:locked/>
    <w:rsid w:val="00C63651"/>
    <w:rPr>
      <w:rFonts w:ascii="DengXian" w:eastAsiaTheme="minorEastAsia" w:hAnsi="DengXian"/>
      <w:lang w:val="en-US"/>
    </w:rPr>
  </w:style>
  <w:style w:type="paragraph" w:styleId="NoSpacing">
    <w:name w:val="No Spacing"/>
    <w:link w:val="NoSpacingChar"/>
    <w:uiPriority w:val="1"/>
    <w:qFormat/>
    <w:rsid w:val="00C63651"/>
    <w:rPr>
      <w:rFonts w:ascii="DengXian" w:eastAsiaTheme="minorEastAsia" w:hAnsi="DengXian"/>
      <w:lang w:val="en-US"/>
    </w:rPr>
  </w:style>
  <w:style w:type="table" w:styleId="TableGrid">
    <w:name w:val="Table Grid"/>
    <w:basedOn w:val="TableNormal"/>
    <w:uiPriority w:val="39"/>
    <w:rsid w:val="00E23E2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6469">
      <w:bodyDiv w:val="1"/>
      <w:marLeft w:val="0"/>
      <w:marRight w:val="0"/>
      <w:marTop w:val="0"/>
      <w:marBottom w:val="0"/>
      <w:divBdr>
        <w:top w:val="none" w:sz="0" w:space="0" w:color="auto"/>
        <w:left w:val="none" w:sz="0" w:space="0" w:color="auto"/>
        <w:bottom w:val="none" w:sz="0" w:space="0" w:color="auto"/>
        <w:right w:val="none" w:sz="0" w:space="0" w:color="auto"/>
      </w:divBdr>
    </w:div>
    <w:div w:id="563222002">
      <w:bodyDiv w:val="1"/>
      <w:marLeft w:val="0"/>
      <w:marRight w:val="0"/>
      <w:marTop w:val="0"/>
      <w:marBottom w:val="0"/>
      <w:divBdr>
        <w:top w:val="none" w:sz="0" w:space="0" w:color="auto"/>
        <w:left w:val="none" w:sz="0" w:space="0" w:color="auto"/>
        <w:bottom w:val="none" w:sz="0" w:space="0" w:color="auto"/>
        <w:right w:val="none" w:sz="0" w:space="0" w:color="auto"/>
      </w:divBdr>
    </w:div>
    <w:div w:id="843668775">
      <w:bodyDiv w:val="1"/>
      <w:marLeft w:val="0"/>
      <w:marRight w:val="0"/>
      <w:marTop w:val="0"/>
      <w:marBottom w:val="0"/>
      <w:divBdr>
        <w:top w:val="none" w:sz="0" w:space="0" w:color="auto"/>
        <w:left w:val="none" w:sz="0" w:space="0" w:color="auto"/>
        <w:bottom w:val="none" w:sz="0" w:space="0" w:color="auto"/>
        <w:right w:val="none" w:sz="0" w:space="0" w:color="auto"/>
      </w:divBdr>
    </w:div>
    <w:div w:id="1692536841">
      <w:bodyDiv w:val="1"/>
      <w:marLeft w:val="0"/>
      <w:marRight w:val="0"/>
      <w:marTop w:val="0"/>
      <w:marBottom w:val="0"/>
      <w:divBdr>
        <w:top w:val="none" w:sz="0" w:space="0" w:color="auto"/>
        <w:left w:val="none" w:sz="0" w:space="0" w:color="auto"/>
        <w:bottom w:val="none" w:sz="0" w:space="0" w:color="auto"/>
        <w:right w:val="none" w:sz="0" w:space="0" w:color="auto"/>
      </w:divBdr>
    </w:div>
    <w:div w:id="19072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 RIBBLE BOROUGH COUNCIL</vt:lpstr>
    </vt:vector>
  </TitlesOfParts>
  <Company>South Ribble Council Lancs</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RIBBLE BOROUGH COUNCIL</dc:title>
  <dc:creator>GX0620</dc:creator>
  <cp:lastModifiedBy>Committee Meetings</cp:lastModifiedBy>
  <cp:revision>6</cp:revision>
  <cp:lastPrinted>2004-07-19T12:28:00Z</cp:lastPrinted>
  <dcterms:created xsi:type="dcterms:W3CDTF">2020-12-23T12:08:00Z</dcterms:created>
  <dcterms:modified xsi:type="dcterms:W3CDTF">2021-01-06T10:53:00Z</dcterms:modified>
</cp:coreProperties>
</file>